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01" w:rsidRPr="00EC2E01" w:rsidRDefault="00EC2E01" w:rsidP="00EF408A">
      <w:pPr>
        <w:ind w:left="0" w:firstLine="0"/>
        <w:rPr>
          <w:b/>
        </w:rPr>
      </w:pPr>
      <w:r w:rsidRPr="00EC2E01">
        <w:rPr>
          <w:b/>
        </w:rPr>
        <w:t>Propriété par étages.</w:t>
      </w:r>
      <w:r w:rsidR="00890CC4">
        <w:rPr>
          <w:b/>
        </w:rPr>
        <w:t xml:space="preserve"> Délai pour introduire l’action en contestation d’une décision d’une assemblée des propriétaires d’étages. </w:t>
      </w:r>
      <w:r w:rsidR="00E0374A">
        <w:rPr>
          <w:b/>
        </w:rPr>
        <w:t>Modification d’un droit d’usage particulier conféré</w:t>
      </w:r>
      <w:r w:rsidR="00890CC4">
        <w:rPr>
          <w:b/>
        </w:rPr>
        <w:t xml:space="preserve"> à un propriétaire d’étages.</w:t>
      </w:r>
    </w:p>
    <w:p w:rsidR="00EC2E01" w:rsidRPr="00EC2E01" w:rsidRDefault="00EC2E01" w:rsidP="00EF408A">
      <w:pPr>
        <w:pBdr>
          <w:bottom w:val="single" w:sz="12" w:space="1" w:color="auto"/>
        </w:pBdr>
        <w:ind w:left="0" w:firstLine="0"/>
        <w:rPr>
          <w:b/>
        </w:rPr>
      </w:pPr>
      <w:r w:rsidRPr="00EC2E01">
        <w:rPr>
          <w:b/>
        </w:rPr>
        <w:t>Commentair</w:t>
      </w:r>
      <w:r>
        <w:rPr>
          <w:b/>
        </w:rPr>
        <w:t>e de</w:t>
      </w:r>
      <w:r w:rsidRPr="00EC2E01">
        <w:rPr>
          <w:b/>
        </w:rPr>
        <w:t xml:space="preserve"> </w:t>
      </w:r>
      <w:r w:rsidR="002A63AC" w:rsidRPr="00890CC4">
        <w:rPr>
          <w:b/>
        </w:rPr>
        <w:t xml:space="preserve">l’arrêt 5A_44/2014 du </w:t>
      </w:r>
      <w:r w:rsidR="00890CC4">
        <w:rPr>
          <w:b/>
        </w:rPr>
        <w:t>10 novembre 2014</w:t>
      </w:r>
      <w:r w:rsidR="002A63AC">
        <w:rPr>
          <w:b/>
        </w:rPr>
        <w:t xml:space="preserve"> du Tribunal fédéral, </w:t>
      </w:r>
      <w:r w:rsidR="00E0374A">
        <w:rPr>
          <w:b/>
        </w:rPr>
        <w:t xml:space="preserve">par Me </w:t>
      </w:r>
      <w:r>
        <w:rPr>
          <w:b/>
        </w:rPr>
        <w:t xml:space="preserve">Daniel Guignard, avocat </w:t>
      </w:r>
      <w:r w:rsidRPr="00EC2E01">
        <w:rPr>
          <w:b/>
        </w:rPr>
        <w:t>spécialiste FSA en droit de la construction et de l’</w:t>
      </w:r>
      <w:r>
        <w:rPr>
          <w:b/>
        </w:rPr>
        <w:t>immobilier</w:t>
      </w:r>
    </w:p>
    <w:p w:rsidR="00EC2E01" w:rsidRDefault="00EC2E01" w:rsidP="00EF408A">
      <w:pPr>
        <w:ind w:left="0" w:firstLine="0"/>
      </w:pPr>
    </w:p>
    <w:p w:rsidR="00087DF1" w:rsidRPr="00087DF1" w:rsidRDefault="00087DF1" w:rsidP="00EF408A">
      <w:pPr>
        <w:ind w:left="0" w:firstLine="0"/>
        <w:rPr>
          <w:i/>
        </w:rPr>
      </w:pPr>
      <w:r w:rsidRPr="00087DF1">
        <w:rPr>
          <w:i/>
        </w:rPr>
        <w:t>A. Introduction</w:t>
      </w:r>
    </w:p>
    <w:p w:rsidR="00087DF1" w:rsidRDefault="00087DF1" w:rsidP="00EF408A">
      <w:pPr>
        <w:ind w:left="0" w:firstLine="0"/>
      </w:pPr>
    </w:p>
    <w:p w:rsidR="005D29A1" w:rsidRDefault="005D29A1" w:rsidP="00EF408A">
      <w:pPr>
        <w:ind w:left="0" w:firstLine="0"/>
      </w:pPr>
      <w:r>
        <w:t xml:space="preserve">Destiné à la publication au Recueil officiel, cet arrêt est intéressant </w:t>
      </w:r>
      <w:r w:rsidR="00B83CE2">
        <w:t xml:space="preserve">à deux égards. </w:t>
      </w:r>
      <w:r>
        <w:t xml:space="preserve">D’une part, </w:t>
      </w:r>
      <w:r w:rsidR="000A4600">
        <w:t>le Tribunal fédéral</w:t>
      </w:r>
      <w:r>
        <w:t xml:space="preserve"> </w:t>
      </w:r>
      <w:r w:rsidR="00121AFA">
        <w:t>précise</w:t>
      </w:r>
      <w:r>
        <w:t xml:space="preserve"> </w:t>
      </w:r>
      <w:r w:rsidR="00E0374A">
        <w:t xml:space="preserve">pour la première fois </w:t>
      </w:r>
      <w:r w:rsidR="00B83CE2">
        <w:t xml:space="preserve">que le délai </w:t>
      </w:r>
      <w:r w:rsidR="000A4600">
        <w:t xml:space="preserve">de </w:t>
      </w:r>
      <w:r w:rsidR="00087DF1">
        <w:t xml:space="preserve">droit matériel </w:t>
      </w:r>
      <w:r w:rsidR="000A4600">
        <w:t>d’un mois</w:t>
      </w:r>
      <w:r w:rsidR="00B83CE2">
        <w:t xml:space="preserve"> fixé par l’article 75 CC pour introduire une action en contestation d’une décision prise par l’assemblée des p</w:t>
      </w:r>
      <w:r w:rsidR="000A4600">
        <w:t>ro</w:t>
      </w:r>
      <w:r w:rsidR="00121AFA">
        <w:t>priétaires d’étages s’applique</w:t>
      </w:r>
      <w:r w:rsidR="00B83CE2">
        <w:t xml:space="preserve"> à l’acte introductif d’instance, c’est-à-dire </w:t>
      </w:r>
      <w:r w:rsidR="000A4600">
        <w:t xml:space="preserve">à </w:t>
      </w:r>
      <w:r w:rsidR="00B83CE2">
        <w:t>la requête de conciliation</w:t>
      </w:r>
      <w:r w:rsidR="000A4600">
        <w:t xml:space="preserve">, alors que c’est le délai de procédure de trois mois de l’article 209 al. 3 CPC qui </w:t>
      </w:r>
      <w:r w:rsidR="00121AFA">
        <w:t>doit</w:t>
      </w:r>
      <w:r w:rsidR="000A4600">
        <w:t xml:space="preserve"> être respecté </w:t>
      </w:r>
      <w:r w:rsidR="00087DF1">
        <w:t>lorsque</w:t>
      </w:r>
      <w:r w:rsidR="000A4600">
        <w:t xml:space="preserve"> </w:t>
      </w:r>
      <w:r w:rsidR="00121AFA">
        <w:t xml:space="preserve">le </w:t>
      </w:r>
      <w:r w:rsidR="00893F49">
        <w:t>propriétaire d’étages</w:t>
      </w:r>
      <w:r w:rsidR="00121AFA">
        <w:t xml:space="preserve"> </w:t>
      </w:r>
      <w:r w:rsidR="000A4600">
        <w:t>entend poursuivre l’instance introduite par sa requête de c</w:t>
      </w:r>
      <w:r w:rsidR="00121AFA">
        <w:t xml:space="preserve">onciliation. </w:t>
      </w:r>
      <w:r w:rsidR="000A4600">
        <w:t xml:space="preserve">D’autre part, la Haute Cour </w:t>
      </w:r>
      <w:r w:rsidR="00121AFA">
        <w:t xml:space="preserve">rappelle quelle est la portée des </w:t>
      </w:r>
      <w:r w:rsidR="00893F49">
        <w:t>droits d’usage particulier</w:t>
      </w:r>
      <w:r w:rsidR="00B83CE2">
        <w:t xml:space="preserve"> </w:t>
      </w:r>
      <w:r w:rsidR="00087DF1">
        <w:t xml:space="preserve">pouvant être conférés à un </w:t>
      </w:r>
      <w:r w:rsidR="00121AFA">
        <w:t>propriétaire d’étages, ainsi que les règles applicables à leur modification.</w:t>
      </w:r>
    </w:p>
    <w:p w:rsidR="00121AFA" w:rsidRDefault="00121AFA" w:rsidP="00EF408A">
      <w:pPr>
        <w:ind w:left="0" w:firstLine="0"/>
      </w:pPr>
    </w:p>
    <w:p w:rsidR="00087DF1" w:rsidRPr="00087DF1" w:rsidRDefault="00087DF1" w:rsidP="00EF408A">
      <w:pPr>
        <w:ind w:left="0" w:firstLine="0"/>
        <w:rPr>
          <w:i/>
        </w:rPr>
      </w:pPr>
      <w:r w:rsidRPr="00087DF1">
        <w:rPr>
          <w:i/>
        </w:rPr>
        <w:t>B. Les délais applicables à l’action e</w:t>
      </w:r>
      <w:r w:rsidR="002105E4">
        <w:rPr>
          <w:i/>
        </w:rPr>
        <w:t>n contestation d’une décision de l’</w:t>
      </w:r>
      <w:r w:rsidRPr="00087DF1">
        <w:rPr>
          <w:i/>
        </w:rPr>
        <w:t>assembl</w:t>
      </w:r>
      <w:r w:rsidR="00E0374A">
        <w:rPr>
          <w:i/>
        </w:rPr>
        <w:t>ée des propriétaires d’étages</w:t>
      </w:r>
    </w:p>
    <w:p w:rsidR="00087DF1" w:rsidRDefault="00087DF1" w:rsidP="00EF408A">
      <w:pPr>
        <w:ind w:left="0" w:firstLine="0"/>
      </w:pPr>
    </w:p>
    <w:p w:rsidR="00087DF1" w:rsidRPr="00F22B7E" w:rsidRDefault="00C4476C" w:rsidP="00EF408A">
      <w:pPr>
        <w:ind w:left="0" w:firstLine="0"/>
      </w:pPr>
      <w:r>
        <w:t xml:space="preserve">Cet arrêt nous donne </w:t>
      </w:r>
      <w:r w:rsidRPr="00F22B7E">
        <w:t xml:space="preserve">l’occasion de rappeler les règles applicables, en termes de délais, pour contester une décision </w:t>
      </w:r>
      <w:r w:rsidR="002105E4" w:rsidRPr="00F22B7E">
        <w:t>de l’</w:t>
      </w:r>
      <w:r w:rsidRPr="00F22B7E">
        <w:t>assemblée de</w:t>
      </w:r>
      <w:r w:rsidR="002105E4" w:rsidRPr="00F22B7E">
        <w:t>s</w:t>
      </w:r>
      <w:r w:rsidRPr="00F22B7E">
        <w:t xml:space="preserve"> propriétaires d’étages.</w:t>
      </w:r>
    </w:p>
    <w:p w:rsidR="00087DF1" w:rsidRPr="00F22B7E" w:rsidRDefault="00087DF1" w:rsidP="00EF408A">
      <w:pPr>
        <w:ind w:left="0" w:firstLine="0"/>
      </w:pPr>
    </w:p>
    <w:p w:rsidR="00157C78" w:rsidRPr="00F22B7E" w:rsidRDefault="005804CF" w:rsidP="00EF408A">
      <w:pPr>
        <w:ind w:left="0" w:firstLine="0"/>
        <w:rPr>
          <w:rFonts w:cs="Arial"/>
        </w:rPr>
      </w:pPr>
      <w:r w:rsidRPr="00F22B7E">
        <w:t xml:space="preserve">Selon l’article 75 CC </w:t>
      </w:r>
      <w:r w:rsidRPr="00F22B7E">
        <w:rPr>
          <w:rFonts w:cs="Arial"/>
        </w:rPr>
        <w:t>applicable par renvoi de l'art</w:t>
      </w:r>
      <w:r w:rsidR="00E0374A" w:rsidRPr="00F22B7E">
        <w:rPr>
          <w:rFonts w:cs="Arial"/>
        </w:rPr>
        <w:t>icle</w:t>
      </w:r>
      <w:r w:rsidRPr="00F22B7E">
        <w:rPr>
          <w:rFonts w:cs="Arial"/>
        </w:rPr>
        <w:t xml:space="preserve"> 712m al. 2 CC,</w:t>
      </w:r>
      <w:r w:rsidR="00121AFA" w:rsidRPr="00F22B7E">
        <w:t xml:space="preserve"> </w:t>
      </w:r>
      <w:r w:rsidR="003C5984" w:rsidRPr="00F22B7E">
        <w:t xml:space="preserve">tout </w:t>
      </w:r>
      <w:r w:rsidR="00893F49" w:rsidRPr="00F22B7E">
        <w:t>propriétaire d’étage</w:t>
      </w:r>
      <w:r w:rsidR="003C5984" w:rsidRPr="00F22B7E">
        <w:t>s</w:t>
      </w:r>
      <w:r w:rsidR="00893F49" w:rsidRPr="00F22B7E">
        <w:t xml:space="preserve"> qui entend contester une décis</w:t>
      </w:r>
      <w:r w:rsidR="003C5984" w:rsidRPr="00F22B7E">
        <w:t xml:space="preserve">ion prise par l’assemblée des </w:t>
      </w:r>
      <w:r w:rsidR="00893F49" w:rsidRPr="00F22B7E">
        <w:t xml:space="preserve">propriétaires d’étages et à </w:t>
      </w:r>
      <w:r w:rsidRPr="00F22B7E">
        <w:t xml:space="preserve">laquelle il n’a pas adhéré </w:t>
      </w:r>
      <w:r w:rsidR="00157C78" w:rsidRPr="00F22B7E">
        <w:t>(</w:t>
      </w:r>
      <w:r w:rsidR="00E0374A" w:rsidRPr="00F22B7E">
        <w:rPr>
          <w:rFonts w:cs="Arial"/>
        </w:rPr>
        <w:t>ATF 136 III 174</w:t>
      </w:r>
      <w:r w:rsidR="00087DF1" w:rsidRPr="00F22B7E">
        <w:rPr>
          <w:rFonts w:cs="Arial"/>
        </w:rPr>
        <w:t xml:space="preserve"> </w:t>
      </w:r>
      <w:proofErr w:type="spellStart"/>
      <w:r w:rsidR="00087DF1" w:rsidRPr="00F22B7E">
        <w:rPr>
          <w:rFonts w:cs="Arial"/>
        </w:rPr>
        <w:t>consid</w:t>
      </w:r>
      <w:proofErr w:type="spellEnd"/>
      <w:r w:rsidR="00087DF1" w:rsidRPr="00F22B7E">
        <w:rPr>
          <w:rFonts w:cs="Arial"/>
        </w:rPr>
        <w:t xml:space="preserve">. 5.1.2) </w:t>
      </w:r>
      <w:r w:rsidRPr="00F22B7E">
        <w:t>doit</w:t>
      </w:r>
      <w:r w:rsidR="00893F49" w:rsidRPr="00F22B7E">
        <w:t xml:space="preserve"> attaquer </w:t>
      </w:r>
      <w:r w:rsidRPr="00F22B7E">
        <w:t xml:space="preserve">en justice </w:t>
      </w:r>
      <w:r w:rsidR="00893F49" w:rsidRPr="00F22B7E">
        <w:t xml:space="preserve">la décision </w:t>
      </w:r>
      <w:r w:rsidRPr="00F22B7E">
        <w:t xml:space="preserve">dans le mois à compter du </w:t>
      </w:r>
      <w:r w:rsidR="00087DF1" w:rsidRPr="00F22B7E">
        <w:t>jour où il en a eu connaissance.</w:t>
      </w:r>
    </w:p>
    <w:p w:rsidR="00157C78" w:rsidRPr="00F22B7E" w:rsidRDefault="00157C78" w:rsidP="00EF408A">
      <w:pPr>
        <w:ind w:left="0" w:firstLine="0"/>
        <w:rPr>
          <w:rFonts w:cs="Arial"/>
        </w:rPr>
      </w:pPr>
    </w:p>
    <w:p w:rsidR="00121AFA" w:rsidRPr="00F22B7E" w:rsidRDefault="005804CF" w:rsidP="00EF408A">
      <w:pPr>
        <w:ind w:left="0" w:firstLine="0"/>
        <w:rPr>
          <w:rFonts w:cs="Arial"/>
        </w:rPr>
      </w:pPr>
      <w:r w:rsidRPr="00F22B7E">
        <w:rPr>
          <w:rFonts w:cs="Arial"/>
        </w:rPr>
        <w:t>Il est communément admis que ce délai, fixé par le droit matériel fédéral, est un délai de p</w:t>
      </w:r>
      <w:r w:rsidRPr="00F22B7E">
        <w:t xml:space="preserve">éremption (ATF 135 III 489 </w:t>
      </w:r>
      <w:proofErr w:type="spellStart"/>
      <w:r w:rsidRPr="00F22B7E">
        <w:rPr>
          <w:rFonts w:cs="Arial"/>
        </w:rPr>
        <w:t>consid</w:t>
      </w:r>
      <w:proofErr w:type="spellEnd"/>
      <w:r w:rsidRPr="00F22B7E">
        <w:rPr>
          <w:rFonts w:cs="Arial"/>
        </w:rPr>
        <w:t xml:space="preserve">. 2.2; TF 5A_537/2011 du 23.01.2012, </w:t>
      </w:r>
      <w:proofErr w:type="spellStart"/>
      <w:r w:rsidRPr="00F22B7E">
        <w:rPr>
          <w:rFonts w:cs="Arial"/>
        </w:rPr>
        <w:t>co</w:t>
      </w:r>
      <w:r w:rsidR="00E6585B" w:rsidRPr="00F22B7E">
        <w:rPr>
          <w:rFonts w:cs="Arial"/>
        </w:rPr>
        <w:t>nsid</w:t>
      </w:r>
      <w:proofErr w:type="spellEnd"/>
      <w:r w:rsidR="00E6585B" w:rsidRPr="00F22B7E">
        <w:rPr>
          <w:rFonts w:cs="Arial"/>
        </w:rPr>
        <w:t xml:space="preserve">. 5.3.1), </w:t>
      </w:r>
      <w:r w:rsidR="003C5984" w:rsidRPr="00F22B7E">
        <w:rPr>
          <w:rFonts w:cs="Arial"/>
        </w:rPr>
        <w:t xml:space="preserve">de sorte que le </w:t>
      </w:r>
      <w:r w:rsidRPr="00F22B7E">
        <w:rPr>
          <w:rFonts w:cs="Arial"/>
        </w:rPr>
        <w:t>propriétaire d’étage</w:t>
      </w:r>
      <w:r w:rsidR="003C5984" w:rsidRPr="00F22B7E">
        <w:rPr>
          <w:rFonts w:cs="Arial"/>
        </w:rPr>
        <w:t>s</w:t>
      </w:r>
      <w:r w:rsidRPr="00F22B7E">
        <w:rPr>
          <w:rFonts w:cs="Arial"/>
        </w:rPr>
        <w:t xml:space="preserve"> qui ne le respecte pas </w:t>
      </w:r>
      <w:r w:rsidR="00890CC4" w:rsidRPr="00F22B7E">
        <w:rPr>
          <w:rFonts w:cs="Arial"/>
        </w:rPr>
        <w:t>est déchu de son droit d’action</w:t>
      </w:r>
      <w:r w:rsidRPr="00F22B7E">
        <w:rPr>
          <w:rFonts w:cs="Arial"/>
        </w:rPr>
        <w:t xml:space="preserve"> </w:t>
      </w:r>
      <w:r w:rsidR="00890CC4" w:rsidRPr="00F22B7E">
        <w:rPr>
          <w:rFonts w:cs="Arial"/>
        </w:rPr>
        <w:t xml:space="preserve">de demander </w:t>
      </w:r>
      <w:r w:rsidRPr="00F22B7E">
        <w:rPr>
          <w:rFonts w:cs="Arial"/>
        </w:rPr>
        <w:t xml:space="preserve">l’annulation d’une décision </w:t>
      </w:r>
      <w:r w:rsidR="00E75084" w:rsidRPr="00F22B7E">
        <w:rPr>
          <w:rFonts w:cs="Arial"/>
        </w:rPr>
        <w:t xml:space="preserve">pourtant </w:t>
      </w:r>
      <w:r w:rsidRPr="00F22B7E">
        <w:rPr>
          <w:rFonts w:cs="Arial"/>
        </w:rPr>
        <w:t xml:space="preserve">prise </w:t>
      </w:r>
      <w:r w:rsidR="00157C78" w:rsidRPr="00F22B7E">
        <w:rPr>
          <w:rFonts w:cs="Arial"/>
        </w:rPr>
        <w:t>en violation de</w:t>
      </w:r>
      <w:r w:rsidRPr="00F22B7E">
        <w:rPr>
          <w:rFonts w:cs="Arial"/>
        </w:rPr>
        <w:t xml:space="preserve"> dispositions légales ou </w:t>
      </w:r>
      <w:r w:rsidR="003C5984" w:rsidRPr="00F22B7E">
        <w:rPr>
          <w:rFonts w:cs="Arial"/>
        </w:rPr>
        <w:t xml:space="preserve">règlementaires (on réservera cependant les cas – limités – des décisions qui comportent une illicéité </w:t>
      </w:r>
      <w:r w:rsidR="00E0374A" w:rsidRPr="00F22B7E">
        <w:rPr>
          <w:rFonts w:cs="Arial"/>
        </w:rPr>
        <w:t>si grave qu’elles sont frappées</w:t>
      </w:r>
      <w:r w:rsidR="00157C78" w:rsidRPr="00F22B7E">
        <w:rPr>
          <w:rFonts w:cs="Arial"/>
        </w:rPr>
        <w:t xml:space="preserve"> </w:t>
      </w:r>
      <w:r w:rsidR="003C5984" w:rsidRPr="00F22B7E">
        <w:rPr>
          <w:rFonts w:cs="Arial"/>
        </w:rPr>
        <w:t xml:space="preserve">d’une nullité </w:t>
      </w:r>
      <w:r w:rsidR="00E0374A" w:rsidRPr="00F22B7E">
        <w:rPr>
          <w:rFonts w:cs="Arial"/>
        </w:rPr>
        <w:t xml:space="preserve">absolue </w:t>
      </w:r>
      <w:r w:rsidR="003C5984" w:rsidRPr="00F22B7E">
        <w:rPr>
          <w:rFonts w:cs="Arial"/>
        </w:rPr>
        <w:t xml:space="preserve">dont tout propriétaire d’étages peut se prévaloir en tout temps; </w:t>
      </w:r>
      <w:r w:rsidR="00F22B7E">
        <w:rPr>
          <w:rFonts w:cs="Arial"/>
        </w:rPr>
        <w:t xml:space="preserve">cf. </w:t>
      </w:r>
      <w:r w:rsidR="000C3844" w:rsidRPr="00F22B7E">
        <w:rPr>
          <w:rFonts w:cs="Arial"/>
        </w:rPr>
        <w:t xml:space="preserve">TF 5A_760/2011 du 18 mai 2012, </w:t>
      </w:r>
      <w:proofErr w:type="spellStart"/>
      <w:r w:rsidR="000C3844" w:rsidRPr="00F22B7E">
        <w:rPr>
          <w:rFonts w:cs="Arial"/>
        </w:rPr>
        <w:t>consid</w:t>
      </w:r>
      <w:proofErr w:type="spellEnd"/>
      <w:r w:rsidR="000C3844" w:rsidRPr="00F22B7E">
        <w:rPr>
          <w:rFonts w:cs="Arial"/>
        </w:rPr>
        <w:t xml:space="preserve">. 3.2.3.1; </w:t>
      </w:r>
      <w:proofErr w:type="spellStart"/>
      <w:r w:rsidR="003C5984" w:rsidRPr="00F22B7E">
        <w:t>Amédéo</w:t>
      </w:r>
      <w:proofErr w:type="spellEnd"/>
      <w:r w:rsidR="003C5984" w:rsidRPr="00F22B7E">
        <w:t xml:space="preserve"> Wermelinger, La propriété par étages, Commentaire des articles 712a à 712t du Code civil suisse, 3</w:t>
      </w:r>
      <w:r w:rsidR="003C5984" w:rsidRPr="00F22B7E">
        <w:rPr>
          <w:vertAlign w:val="superscript"/>
        </w:rPr>
        <w:t>ème</w:t>
      </w:r>
      <w:r w:rsidR="003C5984" w:rsidRPr="00F22B7E">
        <w:t xml:space="preserve"> éd., 2015, n. 210 à 214 </w:t>
      </w:r>
      <w:r w:rsidR="003C5984" w:rsidRPr="00F22B7E">
        <w:rPr>
          <w:i/>
        </w:rPr>
        <w:t>ad</w:t>
      </w:r>
      <w:r w:rsidR="003C5984" w:rsidRPr="00F22B7E">
        <w:t xml:space="preserve"> art. 712m)</w:t>
      </w:r>
      <w:r w:rsidR="003C5984" w:rsidRPr="00F22B7E">
        <w:rPr>
          <w:rFonts w:cs="Arial"/>
        </w:rPr>
        <w:t>.</w:t>
      </w:r>
    </w:p>
    <w:p w:rsidR="00E6585B" w:rsidRPr="00F22B7E" w:rsidRDefault="00E6585B" w:rsidP="00EF408A">
      <w:pPr>
        <w:ind w:left="0" w:firstLine="0"/>
        <w:rPr>
          <w:rFonts w:cs="Arial"/>
        </w:rPr>
      </w:pPr>
    </w:p>
    <w:p w:rsidR="009123A1" w:rsidRPr="00F22B7E" w:rsidRDefault="00293DC9" w:rsidP="00EF408A">
      <w:pPr>
        <w:ind w:left="0" w:firstLine="0"/>
      </w:pPr>
      <w:r w:rsidRPr="00F22B7E">
        <w:rPr>
          <w:rFonts w:cs="Arial"/>
        </w:rPr>
        <w:t>L</w:t>
      </w:r>
      <w:r w:rsidR="00E6585B" w:rsidRPr="00F22B7E">
        <w:rPr>
          <w:rFonts w:cs="Arial"/>
        </w:rPr>
        <w:t xml:space="preserve">e délai d’un mois fixé par l’article 75 CC court </w:t>
      </w:r>
      <w:r w:rsidR="00E6585B" w:rsidRPr="00F22B7E">
        <w:t>à compter du jour où le propriétaire d’étages a eu connaissance</w:t>
      </w:r>
      <w:r w:rsidRPr="00F22B7E">
        <w:t xml:space="preserve"> de la décision litigieuse. </w:t>
      </w:r>
      <w:r w:rsidR="009123A1" w:rsidRPr="00F22B7E">
        <w:t xml:space="preserve">Le plaideur veillera donc à ne pas calculer le </w:t>
      </w:r>
      <w:r w:rsidR="009123A1" w:rsidRPr="00F22B7E">
        <w:rPr>
          <w:i/>
        </w:rPr>
        <w:t>dies a quo</w:t>
      </w:r>
      <w:r w:rsidR="009123A1" w:rsidRPr="00F22B7E">
        <w:t xml:space="preserve"> (point de départ) du délai à partir du lendemain</w:t>
      </w:r>
      <w:r w:rsidR="00157C78" w:rsidRPr="00F22B7E">
        <w:t xml:space="preserve"> de cette connaissance</w:t>
      </w:r>
      <w:r w:rsidR="009123A1" w:rsidRPr="00F22B7E">
        <w:t xml:space="preserve">, l’article 142 al. 1 CPC étant inapplicable aux délais de droit matériel (Denis Tappy, Code de procédure civil commenté, 2011, n. 7 </w:t>
      </w:r>
      <w:r w:rsidR="009123A1" w:rsidRPr="00F22B7E">
        <w:rPr>
          <w:i/>
        </w:rPr>
        <w:t>ad</w:t>
      </w:r>
      <w:r w:rsidR="009123A1" w:rsidRPr="00F22B7E">
        <w:t xml:space="preserve"> art. 142). </w:t>
      </w:r>
      <w:r w:rsidR="00E0374A" w:rsidRPr="00F22B7E">
        <w:t xml:space="preserve">Le propriétaire d’étages a connaissance de la décision lorsqu’il connaît toute sa teneur (Bénédict </w:t>
      </w:r>
      <w:proofErr w:type="spellStart"/>
      <w:r w:rsidR="00E0374A" w:rsidRPr="00F22B7E">
        <w:t>Foëx</w:t>
      </w:r>
      <w:proofErr w:type="spellEnd"/>
      <w:r w:rsidR="00E0374A" w:rsidRPr="00F22B7E">
        <w:t xml:space="preserve">, Commentaire romand, Code civil I, 2010, n. 27 </w:t>
      </w:r>
      <w:r w:rsidR="00E0374A" w:rsidRPr="00F22B7E">
        <w:rPr>
          <w:i/>
        </w:rPr>
        <w:t>ad</w:t>
      </w:r>
      <w:r w:rsidR="00E0374A" w:rsidRPr="00F22B7E">
        <w:t xml:space="preserve"> art. 75). </w:t>
      </w:r>
      <w:r w:rsidR="002105E4" w:rsidRPr="00F22B7E">
        <w:t>S</w:t>
      </w:r>
      <w:r w:rsidRPr="00F22B7E">
        <w:t>i le propriétaire d’étages</w:t>
      </w:r>
      <w:r w:rsidR="00E6585B" w:rsidRPr="00F22B7E">
        <w:t xml:space="preserve"> </w:t>
      </w:r>
      <w:r w:rsidR="009123A1" w:rsidRPr="00F22B7E">
        <w:t>est</w:t>
      </w:r>
      <w:r w:rsidR="00E6585B" w:rsidRPr="00F22B7E">
        <w:t xml:space="preserve"> présent ou représenté à l’assemblée</w:t>
      </w:r>
      <w:r w:rsidRPr="00F22B7E">
        <w:t xml:space="preserve"> des propriétaires d’étages, l</w:t>
      </w:r>
      <w:r w:rsidR="00E6585B" w:rsidRPr="00F22B7E">
        <w:t>e délai commence</w:t>
      </w:r>
      <w:r w:rsidR="002105E4" w:rsidRPr="00F22B7E">
        <w:t>ra</w:t>
      </w:r>
      <w:r w:rsidR="00E6585B" w:rsidRPr="00F22B7E">
        <w:t xml:space="preserve"> </w:t>
      </w:r>
      <w:r w:rsidR="002105E4" w:rsidRPr="00F22B7E">
        <w:t xml:space="preserve">donc </w:t>
      </w:r>
      <w:r w:rsidR="00E6585B" w:rsidRPr="00F22B7E">
        <w:t>à courir à compter de la date à laquell</w:t>
      </w:r>
      <w:r w:rsidRPr="00F22B7E">
        <w:t>e l’assemblée s’est tenue</w:t>
      </w:r>
      <w:r w:rsidR="00E0374A" w:rsidRPr="00F22B7E">
        <w:t xml:space="preserve"> puisqu’on admet généralement que le propriétaire présent ou représenté à l’assemblée a aussitôt connaissance, de manière suffisamment complète, de la décision prise</w:t>
      </w:r>
      <w:r w:rsidRPr="00F22B7E">
        <w:t xml:space="preserve">. </w:t>
      </w:r>
      <w:r w:rsidR="00E0374A" w:rsidRPr="00F22B7E">
        <w:t>En revanche, s</w:t>
      </w:r>
      <w:r w:rsidRPr="00F22B7E">
        <w:t xml:space="preserve">i le propriétaire d’étages </w:t>
      </w:r>
      <w:r w:rsidR="009123A1" w:rsidRPr="00F22B7E">
        <w:t>est</w:t>
      </w:r>
      <w:r w:rsidR="00E6585B" w:rsidRPr="00F22B7E">
        <w:t xml:space="preserve"> absent et non</w:t>
      </w:r>
      <w:r w:rsidRPr="00F22B7E">
        <w:t xml:space="preserve"> représenté, le délai commence</w:t>
      </w:r>
      <w:r w:rsidR="009123A1" w:rsidRPr="00F22B7E">
        <w:t>ra</w:t>
      </w:r>
      <w:r w:rsidR="00E6585B" w:rsidRPr="00F22B7E">
        <w:t xml:space="preserve"> en principe à courir à partir du jour où le procès-verbal de l’assemblée lui </w:t>
      </w:r>
      <w:r w:rsidRPr="00F22B7E">
        <w:t>a</w:t>
      </w:r>
      <w:r w:rsidR="009123A1" w:rsidRPr="00F22B7E">
        <w:t>ura</w:t>
      </w:r>
      <w:r w:rsidRPr="00F22B7E">
        <w:t xml:space="preserve"> été </w:t>
      </w:r>
      <w:r w:rsidR="00EE2D72" w:rsidRPr="00F22B7E">
        <w:t>remis.</w:t>
      </w:r>
    </w:p>
    <w:p w:rsidR="009123A1" w:rsidRPr="00F22B7E" w:rsidRDefault="009123A1" w:rsidP="00EF408A">
      <w:pPr>
        <w:ind w:left="0" w:firstLine="0"/>
      </w:pPr>
    </w:p>
    <w:p w:rsidR="00E6585B" w:rsidRPr="00F22B7E" w:rsidRDefault="00E6585B" w:rsidP="00EF408A">
      <w:pPr>
        <w:ind w:left="0" w:firstLine="0"/>
        <w:rPr>
          <w:rFonts w:cs="Arial"/>
        </w:rPr>
      </w:pPr>
      <w:r w:rsidRPr="00F22B7E">
        <w:lastRenderedPageBreak/>
        <w:t>Le délai arri</w:t>
      </w:r>
      <w:r w:rsidR="00293DC9" w:rsidRPr="00F22B7E">
        <w:t xml:space="preserve">vera à échéance un mois après, le calcul se faisant </w:t>
      </w:r>
      <w:r w:rsidR="00A81FCB" w:rsidRPr="00F22B7E">
        <w:t xml:space="preserve">de quantième à quantième, </w:t>
      </w:r>
      <w:r w:rsidR="00293DC9" w:rsidRPr="00F22B7E">
        <w:t>en application des article</w:t>
      </w:r>
      <w:r w:rsidR="002105E4" w:rsidRPr="00F22B7E">
        <w:t>s 77 al. 1 ch. 3 et 78 al. 1 CO</w:t>
      </w:r>
      <w:r w:rsidR="00293DC9" w:rsidRPr="00F22B7E">
        <w:t xml:space="preserve">. </w:t>
      </w:r>
      <w:r w:rsidR="009123A1" w:rsidRPr="00F22B7E">
        <w:t>En d’autres termes et à titre d’exemple</w:t>
      </w:r>
      <w:r w:rsidR="008C5D61" w:rsidRPr="00F22B7E">
        <w:t>s</w:t>
      </w:r>
      <w:r w:rsidR="009123A1" w:rsidRPr="00F22B7E">
        <w:t xml:space="preserve">, si </w:t>
      </w:r>
      <w:r w:rsidR="008C5D61" w:rsidRPr="00F22B7E">
        <w:t>le propriétaire a eu connaissance de la décision litigieuse le 15 mai, le délai arrivera à échéance le 15 juin. S’il en a eu connaissance le 31 mai, le délai arrivera à échéance le 30 juin (et non le 1</w:t>
      </w:r>
      <w:r w:rsidR="008C5D61" w:rsidRPr="00F22B7E">
        <w:rPr>
          <w:vertAlign w:val="superscript"/>
        </w:rPr>
        <w:t>er</w:t>
      </w:r>
      <w:r w:rsidR="008C5D61" w:rsidRPr="00F22B7E">
        <w:t xml:space="preserve"> juillet). Toutefois, si le dernier jour du délai échoit un samedi, un dimanche ou un jour férié, l’échéance sera reportée de plein droit au premier</w:t>
      </w:r>
      <w:r w:rsidR="00F22B7E">
        <w:t xml:space="preserve"> jour</w:t>
      </w:r>
      <w:r w:rsidR="008C5D61" w:rsidRPr="00F22B7E">
        <w:t xml:space="preserve"> utile suivant (art. 78 al. 1 CO). </w:t>
      </w:r>
      <w:r w:rsidR="00293DC9" w:rsidRPr="00F22B7E">
        <w:t xml:space="preserve">Il convient encore de relever que </w:t>
      </w:r>
      <w:r w:rsidR="008C5D61" w:rsidRPr="00F22B7E">
        <w:t>le</w:t>
      </w:r>
      <w:r w:rsidR="00293DC9" w:rsidRPr="00F22B7E">
        <w:t xml:space="preserve"> délai </w:t>
      </w:r>
      <w:r w:rsidR="008C5D61" w:rsidRPr="00F22B7E">
        <w:t xml:space="preserve">d’un mois de l’article 75 CC </w:t>
      </w:r>
      <w:r w:rsidR="00293DC9" w:rsidRPr="00F22B7E">
        <w:t xml:space="preserve">ne peut être </w:t>
      </w:r>
      <w:r w:rsidR="00293DC9" w:rsidRPr="00F22B7E">
        <w:rPr>
          <w:rFonts w:cs="Arial"/>
        </w:rPr>
        <w:t xml:space="preserve">prolongé, ni par voie règlementaire (Wermelinger, </w:t>
      </w:r>
      <w:r w:rsidR="00293DC9" w:rsidRPr="00F22B7E">
        <w:rPr>
          <w:rFonts w:cs="Arial"/>
          <w:i/>
        </w:rPr>
        <w:t xml:space="preserve">op. </w:t>
      </w:r>
      <w:proofErr w:type="spellStart"/>
      <w:proofErr w:type="gramStart"/>
      <w:r w:rsidR="00293DC9" w:rsidRPr="00F22B7E">
        <w:rPr>
          <w:rFonts w:cs="Arial"/>
          <w:i/>
        </w:rPr>
        <w:t>cit</w:t>
      </w:r>
      <w:proofErr w:type="spellEnd"/>
      <w:r w:rsidR="00293DC9" w:rsidRPr="00F22B7E">
        <w:rPr>
          <w:rFonts w:cs="Arial"/>
          <w:i/>
        </w:rPr>
        <w:t>.</w:t>
      </w:r>
      <w:r w:rsidR="00293DC9" w:rsidRPr="00F22B7E">
        <w:rPr>
          <w:rFonts w:cs="Arial"/>
        </w:rPr>
        <w:t>,</w:t>
      </w:r>
      <w:proofErr w:type="gramEnd"/>
      <w:r w:rsidR="00293DC9" w:rsidRPr="00F22B7E">
        <w:rPr>
          <w:rFonts w:cs="Arial"/>
        </w:rPr>
        <w:t xml:space="preserve"> n. 230 </w:t>
      </w:r>
      <w:r w:rsidR="00293DC9" w:rsidRPr="00F22B7E">
        <w:rPr>
          <w:rFonts w:cs="Arial"/>
          <w:i/>
        </w:rPr>
        <w:t>ad</w:t>
      </w:r>
      <w:r w:rsidR="00F22B7E">
        <w:rPr>
          <w:rFonts w:cs="Arial"/>
        </w:rPr>
        <w:t xml:space="preserve"> art. </w:t>
      </w:r>
      <w:r w:rsidR="00293DC9" w:rsidRPr="00F22B7E">
        <w:rPr>
          <w:rFonts w:cs="Arial"/>
        </w:rPr>
        <w:t xml:space="preserve">712m), ni par décision de l’assemblée </w:t>
      </w:r>
      <w:r w:rsidR="00F22B7E">
        <w:rPr>
          <w:rFonts w:cs="Arial"/>
        </w:rPr>
        <w:t>des propriétaires d’étages</w:t>
      </w:r>
      <w:r w:rsidR="00293DC9" w:rsidRPr="00F22B7E">
        <w:rPr>
          <w:rFonts w:cs="Arial"/>
        </w:rPr>
        <w:t xml:space="preserve">, et qu’il n’est pas suspendu pendant les féries </w:t>
      </w:r>
      <w:r w:rsidR="009123A1" w:rsidRPr="00F22B7E">
        <w:rPr>
          <w:rFonts w:cs="Arial"/>
        </w:rPr>
        <w:t>de l’article 145 CPC</w:t>
      </w:r>
      <w:r w:rsidR="008C5D61" w:rsidRPr="00F22B7E">
        <w:rPr>
          <w:rFonts w:cs="Arial"/>
        </w:rPr>
        <w:t>.</w:t>
      </w:r>
    </w:p>
    <w:p w:rsidR="00EE2D72" w:rsidRPr="00F22B7E" w:rsidRDefault="00EE2D72" w:rsidP="00EF408A">
      <w:pPr>
        <w:ind w:left="0" w:firstLine="0"/>
        <w:rPr>
          <w:rFonts w:cs="Arial"/>
        </w:rPr>
      </w:pPr>
    </w:p>
    <w:p w:rsidR="00EE2D72" w:rsidRPr="00F22B7E" w:rsidRDefault="00EE2D72" w:rsidP="00EF408A">
      <w:pPr>
        <w:ind w:left="0" w:firstLine="0"/>
        <w:rPr>
          <w:rFonts w:cs="Arial"/>
        </w:rPr>
      </w:pPr>
      <w:r w:rsidRPr="00F22B7E">
        <w:rPr>
          <w:rFonts w:cs="Arial"/>
        </w:rPr>
        <w:t>Selon les articles 197 et 202 al. 1 CPC, le propriétaire d’étages qui entend contester en justice une décision de l’assemblée des propriétaires d’étages doit introduire la procédure</w:t>
      </w:r>
      <w:r w:rsidR="00114F57" w:rsidRPr="00F22B7E">
        <w:rPr>
          <w:rFonts w:cs="Arial"/>
        </w:rPr>
        <w:t>, dans le délai d’un mois de l’article 75 CC,</w:t>
      </w:r>
      <w:r w:rsidRPr="00F22B7E">
        <w:rPr>
          <w:rFonts w:cs="Arial"/>
        </w:rPr>
        <w:t xml:space="preserve"> par le dépôt d’une requête de conciliation. </w:t>
      </w:r>
      <w:r w:rsidR="00386CD2" w:rsidRPr="00F22B7E">
        <w:rPr>
          <w:rFonts w:cs="Arial"/>
        </w:rPr>
        <w:t xml:space="preserve">C’est le dépôt de la requête de conciliation qui </w:t>
      </w:r>
      <w:r w:rsidR="00215B44" w:rsidRPr="00F22B7E">
        <w:rPr>
          <w:rFonts w:cs="Arial"/>
        </w:rPr>
        <w:t xml:space="preserve">introduit l’instance et crée la litispendance (art. 62 al. 1 CPC). </w:t>
      </w:r>
      <w:r w:rsidR="00114F57" w:rsidRPr="00F22B7E">
        <w:rPr>
          <w:rFonts w:cs="Arial"/>
        </w:rPr>
        <w:t xml:space="preserve">La tentative de conciliation étant une condition de recevabilité de la demande (François </w:t>
      </w:r>
      <w:proofErr w:type="spellStart"/>
      <w:r w:rsidR="00114F57" w:rsidRPr="00F22B7E">
        <w:rPr>
          <w:rFonts w:cs="Arial"/>
        </w:rPr>
        <w:t>Bohnet</w:t>
      </w:r>
      <w:proofErr w:type="spellEnd"/>
      <w:r w:rsidR="00114F57" w:rsidRPr="00F22B7E">
        <w:rPr>
          <w:rFonts w:cs="Arial"/>
        </w:rPr>
        <w:t xml:space="preserve">, </w:t>
      </w:r>
      <w:r w:rsidR="00114F57" w:rsidRPr="00F22B7E">
        <w:t>Code de procédure civil</w:t>
      </w:r>
      <w:r w:rsidR="002105E4" w:rsidRPr="00F22B7E">
        <w:t>e</w:t>
      </w:r>
      <w:r w:rsidR="00114F57" w:rsidRPr="00F22B7E">
        <w:t xml:space="preserve"> commenté, 2011, n. 7 </w:t>
      </w:r>
      <w:r w:rsidR="00114F57" w:rsidRPr="00F22B7E">
        <w:rPr>
          <w:i/>
        </w:rPr>
        <w:t>ad</w:t>
      </w:r>
      <w:r w:rsidR="00114F57" w:rsidRPr="00F22B7E">
        <w:t xml:space="preserve"> art. 197), le propriétaire d’étages </w:t>
      </w:r>
      <w:r w:rsidR="00A63250" w:rsidRPr="00F22B7E">
        <w:rPr>
          <w:rFonts w:cs="Arial"/>
        </w:rPr>
        <w:t xml:space="preserve">ne </w:t>
      </w:r>
      <w:r w:rsidR="00114F57" w:rsidRPr="00F22B7E">
        <w:rPr>
          <w:rFonts w:cs="Arial"/>
        </w:rPr>
        <w:t xml:space="preserve">saurait </w:t>
      </w:r>
      <w:r w:rsidR="00A63250" w:rsidRPr="00F22B7E">
        <w:rPr>
          <w:rFonts w:cs="Arial"/>
        </w:rPr>
        <w:t>valablement ouvrir action par le dépôt d’une demande</w:t>
      </w:r>
      <w:r w:rsidR="00114F57" w:rsidRPr="00F22B7E">
        <w:rPr>
          <w:rFonts w:cs="Arial"/>
        </w:rPr>
        <w:t>. S’il le fait</w:t>
      </w:r>
      <w:r w:rsidR="00A63250" w:rsidRPr="00F22B7E">
        <w:rPr>
          <w:rFonts w:cs="Arial"/>
        </w:rPr>
        <w:t xml:space="preserve">, </w:t>
      </w:r>
      <w:r w:rsidR="00114F57" w:rsidRPr="00F22B7E">
        <w:rPr>
          <w:rFonts w:cs="Arial"/>
        </w:rPr>
        <w:t xml:space="preserve">sa demande </w:t>
      </w:r>
      <w:r w:rsidR="00A81FCB" w:rsidRPr="00F22B7E">
        <w:rPr>
          <w:rFonts w:cs="Arial"/>
        </w:rPr>
        <w:t>est</w:t>
      </w:r>
      <w:r w:rsidR="00114F57" w:rsidRPr="00F22B7E">
        <w:rPr>
          <w:rFonts w:cs="Arial"/>
        </w:rPr>
        <w:t xml:space="preserve"> irrecevable, ce que le juge devra constat</w:t>
      </w:r>
      <w:r w:rsidR="003F4D13" w:rsidRPr="00F22B7E">
        <w:rPr>
          <w:rFonts w:cs="Arial"/>
        </w:rPr>
        <w:t>er</w:t>
      </w:r>
      <w:r w:rsidR="00114F57" w:rsidRPr="00F22B7E">
        <w:rPr>
          <w:rFonts w:cs="Arial"/>
        </w:rPr>
        <w:t xml:space="preserve"> d’office (art. 59 et 60 CPC</w:t>
      </w:r>
      <w:r w:rsidR="00C72DF7" w:rsidRPr="00F22B7E">
        <w:rPr>
          <w:rFonts w:cs="Arial"/>
        </w:rPr>
        <w:t xml:space="preserve">; </w:t>
      </w:r>
      <w:proofErr w:type="spellStart"/>
      <w:r w:rsidR="00C72DF7" w:rsidRPr="00F22B7E">
        <w:rPr>
          <w:rFonts w:cs="Arial"/>
        </w:rPr>
        <w:t>Bohnet</w:t>
      </w:r>
      <w:proofErr w:type="spellEnd"/>
      <w:r w:rsidR="00C72DF7" w:rsidRPr="00F22B7E">
        <w:rPr>
          <w:rFonts w:cs="Arial"/>
        </w:rPr>
        <w:t xml:space="preserve">, </w:t>
      </w:r>
      <w:r w:rsidR="00C72DF7" w:rsidRPr="00F22B7E">
        <w:rPr>
          <w:rFonts w:cs="Arial"/>
          <w:i/>
        </w:rPr>
        <w:t xml:space="preserve">op. </w:t>
      </w:r>
      <w:proofErr w:type="spellStart"/>
      <w:proofErr w:type="gramStart"/>
      <w:r w:rsidR="00C72DF7" w:rsidRPr="00F22B7E">
        <w:rPr>
          <w:rFonts w:cs="Arial"/>
          <w:i/>
        </w:rPr>
        <w:t>cit</w:t>
      </w:r>
      <w:proofErr w:type="spellEnd"/>
      <w:r w:rsidR="00C72DF7" w:rsidRPr="00F22B7E">
        <w:rPr>
          <w:rFonts w:cs="Arial"/>
        </w:rPr>
        <w:t>.,</w:t>
      </w:r>
      <w:proofErr w:type="gramEnd"/>
      <w:r w:rsidR="00C72DF7" w:rsidRPr="00F22B7E">
        <w:rPr>
          <w:rFonts w:cs="Arial"/>
        </w:rPr>
        <w:t xml:space="preserve"> n. 64 </w:t>
      </w:r>
      <w:r w:rsidR="00386CD2" w:rsidRPr="00F22B7E">
        <w:rPr>
          <w:rFonts w:cs="Arial"/>
        </w:rPr>
        <w:t xml:space="preserve">et 66 </w:t>
      </w:r>
      <w:r w:rsidR="00C72DF7" w:rsidRPr="00F22B7E">
        <w:rPr>
          <w:rFonts w:cs="Arial"/>
          <w:i/>
        </w:rPr>
        <w:t>ad</w:t>
      </w:r>
      <w:r w:rsidR="00C72DF7" w:rsidRPr="00F22B7E">
        <w:rPr>
          <w:rFonts w:cs="Arial"/>
        </w:rPr>
        <w:t xml:space="preserve"> art. 59</w:t>
      </w:r>
      <w:r w:rsidR="00114F57" w:rsidRPr="00F22B7E">
        <w:rPr>
          <w:rFonts w:cs="Arial"/>
        </w:rPr>
        <w:t>).</w:t>
      </w:r>
      <w:r w:rsidR="00215B44" w:rsidRPr="00F22B7E">
        <w:rPr>
          <w:rFonts w:cs="Arial"/>
        </w:rPr>
        <w:t xml:space="preserve"> En pareil cas, le propriétaire d’étages pourra néanmoins bénéficier de la sauvegarde de l’instance si, conformément à l’article 63 CPC, il dépose une requête de conciliation devant l’autorité de conciliation compétente dans le mois suivant la notification de la déclaration d’irrecevabilité. Le délai de déchéance de l’article 75 CC qui aurait été respecté par le dépôt (irrégulier) de la demande sera ainsi sauvegardé, même s’il est échu au moment du dépôt de la requête de conciliation (</w:t>
      </w:r>
      <w:proofErr w:type="spellStart"/>
      <w:r w:rsidR="00215B44" w:rsidRPr="00F22B7E">
        <w:rPr>
          <w:rFonts w:cs="Arial"/>
        </w:rPr>
        <w:t>Bohnet</w:t>
      </w:r>
      <w:proofErr w:type="spellEnd"/>
      <w:r w:rsidR="00215B44" w:rsidRPr="00F22B7E">
        <w:rPr>
          <w:rFonts w:cs="Arial"/>
        </w:rPr>
        <w:t xml:space="preserve">, </w:t>
      </w:r>
      <w:r w:rsidR="00215B44" w:rsidRPr="00F22B7E">
        <w:rPr>
          <w:rFonts w:cs="Arial"/>
          <w:i/>
        </w:rPr>
        <w:t xml:space="preserve">op. </w:t>
      </w:r>
      <w:proofErr w:type="spellStart"/>
      <w:proofErr w:type="gramStart"/>
      <w:r w:rsidR="00215B44" w:rsidRPr="00F22B7E">
        <w:rPr>
          <w:rFonts w:cs="Arial"/>
          <w:i/>
        </w:rPr>
        <w:t>cit</w:t>
      </w:r>
      <w:proofErr w:type="spellEnd"/>
      <w:r w:rsidR="00215B44" w:rsidRPr="00F22B7E">
        <w:rPr>
          <w:rFonts w:cs="Arial"/>
        </w:rPr>
        <w:t>.,</w:t>
      </w:r>
      <w:proofErr w:type="gramEnd"/>
      <w:r w:rsidR="00215B44" w:rsidRPr="00F22B7E">
        <w:rPr>
          <w:rFonts w:cs="Arial"/>
        </w:rPr>
        <w:t xml:space="preserve"> n. </w:t>
      </w:r>
      <w:r w:rsidR="00E0076A" w:rsidRPr="00F22B7E">
        <w:rPr>
          <w:rFonts w:cs="Arial"/>
        </w:rPr>
        <w:t xml:space="preserve">11 et </w:t>
      </w:r>
      <w:r w:rsidR="00215B44" w:rsidRPr="00F22B7E">
        <w:rPr>
          <w:rFonts w:cs="Arial"/>
        </w:rPr>
        <w:t xml:space="preserve">25 </w:t>
      </w:r>
      <w:r w:rsidR="00215B44" w:rsidRPr="00F22B7E">
        <w:rPr>
          <w:rFonts w:cs="Arial"/>
          <w:i/>
        </w:rPr>
        <w:t>ad</w:t>
      </w:r>
      <w:r w:rsidR="00215B44" w:rsidRPr="00F22B7E">
        <w:rPr>
          <w:rFonts w:cs="Arial"/>
        </w:rPr>
        <w:t xml:space="preserve"> art. 63)</w:t>
      </w:r>
      <w:r w:rsidR="006D18BF">
        <w:rPr>
          <w:rFonts w:cs="Arial"/>
        </w:rPr>
        <w:t>.</w:t>
      </w:r>
    </w:p>
    <w:p w:rsidR="003F4D13" w:rsidRPr="00F22B7E" w:rsidRDefault="003F4D13" w:rsidP="00EF408A">
      <w:pPr>
        <w:ind w:left="0" w:firstLine="0"/>
        <w:rPr>
          <w:rFonts w:cs="Arial"/>
        </w:rPr>
      </w:pPr>
    </w:p>
    <w:p w:rsidR="003F4D13" w:rsidRPr="00F22B7E" w:rsidRDefault="003F4D13" w:rsidP="00EF408A">
      <w:pPr>
        <w:ind w:left="0" w:firstLine="0"/>
        <w:rPr>
          <w:rFonts w:cs="Arial"/>
        </w:rPr>
      </w:pPr>
      <w:r w:rsidRPr="00F22B7E">
        <w:rPr>
          <w:rFonts w:cs="Arial"/>
        </w:rPr>
        <w:t>Si la tentative de conciliation n’aboutit pas, le juge de la conciliation consignera l’échec au procès-verbal et délivrera au propriétaire d’étages une autoris</w:t>
      </w:r>
      <w:r w:rsidR="002105E4" w:rsidRPr="00F22B7E">
        <w:rPr>
          <w:rFonts w:cs="Arial"/>
        </w:rPr>
        <w:t>ation de procéder (art. 209 al. </w:t>
      </w:r>
      <w:r w:rsidRPr="00F22B7E">
        <w:rPr>
          <w:rFonts w:cs="Arial"/>
        </w:rPr>
        <w:t xml:space="preserve">1 CPC). La question qui était jusqu’ici controversée, mais à laquelle le Tribunal fédéral a désormais répondu, était de savoir si le propriétaire d’étages (ou tout membre d’une association) </w:t>
      </w:r>
      <w:r w:rsidR="00B93C79" w:rsidRPr="00F22B7E">
        <w:rPr>
          <w:rFonts w:cs="Arial"/>
        </w:rPr>
        <w:t>qui entend</w:t>
      </w:r>
      <w:r w:rsidR="00D06A7A" w:rsidRPr="00F22B7E">
        <w:rPr>
          <w:rFonts w:cs="Arial"/>
        </w:rPr>
        <w:t xml:space="preserve"> continuer la procédure </w:t>
      </w:r>
      <w:r w:rsidRPr="00F22B7E">
        <w:rPr>
          <w:rFonts w:cs="Arial"/>
        </w:rPr>
        <w:t>d</w:t>
      </w:r>
      <w:r w:rsidR="00B93C79" w:rsidRPr="00F22B7E">
        <w:rPr>
          <w:rFonts w:cs="Arial"/>
        </w:rPr>
        <w:t>oi</w:t>
      </w:r>
      <w:r w:rsidRPr="00F22B7E">
        <w:rPr>
          <w:rFonts w:cs="Arial"/>
        </w:rPr>
        <w:t xml:space="preserve">t </w:t>
      </w:r>
      <w:r w:rsidR="00D06A7A" w:rsidRPr="00F22B7E">
        <w:rPr>
          <w:rFonts w:cs="Arial"/>
        </w:rPr>
        <w:t xml:space="preserve">déposer sa demande </w:t>
      </w:r>
      <w:r w:rsidR="004A5C7F" w:rsidRPr="00F22B7E">
        <w:rPr>
          <w:rFonts w:cs="Arial"/>
        </w:rPr>
        <w:t xml:space="preserve">devant le tribunal compétent dans le délai d’un mois (art. 209 al. 4 </w:t>
      </w:r>
      <w:r w:rsidR="00B93C79" w:rsidRPr="00F22B7E">
        <w:rPr>
          <w:rFonts w:cs="Arial"/>
        </w:rPr>
        <w:t>2</w:t>
      </w:r>
      <w:r w:rsidR="00B93C79" w:rsidRPr="00F22B7E">
        <w:rPr>
          <w:rFonts w:cs="Arial"/>
          <w:vertAlign w:val="superscript"/>
        </w:rPr>
        <w:t>ème</w:t>
      </w:r>
      <w:r w:rsidR="00B93C79" w:rsidRPr="00F22B7E">
        <w:rPr>
          <w:rFonts w:cs="Arial"/>
        </w:rPr>
        <w:t xml:space="preserve"> phrase </w:t>
      </w:r>
      <w:r w:rsidR="004A5C7F" w:rsidRPr="00F22B7E">
        <w:rPr>
          <w:rFonts w:cs="Arial"/>
        </w:rPr>
        <w:t xml:space="preserve">CPC) ou </w:t>
      </w:r>
      <w:r w:rsidR="002105E4" w:rsidRPr="00F22B7E">
        <w:rPr>
          <w:rFonts w:cs="Arial"/>
        </w:rPr>
        <w:t xml:space="preserve">bien </w:t>
      </w:r>
      <w:r w:rsidR="004A5C7F" w:rsidRPr="00F22B7E">
        <w:rPr>
          <w:rFonts w:cs="Arial"/>
        </w:rPr>
        <w:t>dans le délai de trois mois</w:t>
      </w:r>
      <w:r w:rsidR="00A81FCB" w:rsidRPr="00F22B7E">
        <w:rPr>
          <w:rFonts w:cs="Arial"/>
        </w:rPr>
        <w:t xml:space="preserve"> (art. 209 al. 3 CPC)</w:t>
      </w:r>
      <w:r w:rsidR="002105E4" w:rsidRPr="00F22B7E">
        <w:rPr>
          <w:rFonts w:cs="Arial"/>
        </w:rPr>
        <w:t>,</w:t>
      </w:r>
      <w:r w:rsidR="004A5C7F" w:rsidRPr="00F22B7E">
        <w:rPr>
          <w:rFonts w:cs="Arial"/>
        </w:rPr>
        <w:t xml:space="preserve"> </w:t>
      </w:r>
      <w:r w:rsidR="00A81FCB" w:rsidRPr="00F22B7E">
        <w:rPr>
          <w:rFonts w:cs="Arial"/>
        </w:rPr>
        <w:t xml:space="preserve">dans les deux cas </w:t>
      </w:r>
      <w:r w:rsidR="004A5C7F" w:rsidRPr="00F22B7E">
        <w:rPr>
          <w:rFonts w:cs="Arial"/>
        </w:rPr>
        <w:t>à compter de la délivrance de l’autorisation de procéder</w:t>
      </w:r>
      <w:r w:rsidR="00A81FCB" w:rsidRPr="00F22B7E">
        <w:rPr>
          <w:rFonts w:cs="Arial"/>
        </w:rPr>
        <w:t>.</w:t>
      </w:r>
    </w:p>
    <w:p w:rsidR="00B93C79" w:rsidRPr="00F22B7E" w:rsidRDefault="00B93C79" w:rsidP="00EF408A">
      <w:pPr>
        <w:ind w:left="0" w:firstLine="0"/>
        <w:rPr>
          <w:rFonts w:cs="Arial"/>
        </w:rPr>
      </w:pPr>
    </w:p>
    <w:p w:rsidR="00B93C79" w:rsidRPr="00F22B7E" w:rsidRDefault="00B93C79" w:rsidP="00EF408A">
      <w:pPr>
        <w:ind w:left="0" w:firstLine="0"/>
        <w:rPr>
          <w:rFonts w:cs="Arial"/>
        </w:rPr>
      </w:pPr>
      <w:r w:rsidRPr="00F22B7E">
        <w:rPr>
          <w:rFonts w:cs="Arial"/>
        </w:rPr>
        <w:t xml:space="preserve">Le Tribunal fédéral a donc tranché en faveur de l’application du délai de trois mois à compter de la délivrance de l’autorisation de procéder. </w:t>
      </w:r>
      <w:r w:rsidR="00BD2D8B" w:rsidRPr="00F22B7E">
        <w:rPr>
          <w:rFonts w:cs="Arial"/>
        </w:rPr>
        <w:t>La Haute Cour fonde son raisonnement sur le fait que l’article 209 al. 4 2</w:t>
      </w:r>
      <w:r w:rsidR="00BD2D8B" w:rsidRPr="00F22B7E">
        <w:rPr>
          <w:rFonts w:cs="Arial"/>
          <w:vertAlign w:val="superscript"/>
        </w:rPr>
        <w:t>ème</w:t>
      </w:r>
      <w:r w:rsidR="00BD2D8B" w:rsidRPr="00F22B7E">
        <w:rPr>
          <w:rFonts w:cs="Arial"/>
        </w:rPr>
        <w:t xml:space="preserve"> phrase CPC, qui réserve </w:t>
      </w:r>
      <w:r w:rsidR="00BD2D8B" w:rsidRPr="00F22B7E">
        <w:rPr>
          <w:rFonts w:cs="Arial"/>
          <w:i/>
        </w:rPr>
        <w:t>« les autres délais d’action légaux […] prévus dans les dispositions spéciales »</w:t>
      </w:r>
      <w:r w:rsidR="002105E4" w:rsidRPr="00F22B7E">
        <w:rPr>
          <w:rFonts w:cs="Arial"/>
        </w:rPr>
        <w:t>, ne vise</w:t>
      </w:r>
      <w:r w:rsidR="00825574" w:rsidRPr="00F22B7E">
        <w:rPr>
          <w:rFonts w:cs="Arial"/>
        </w:rPr>
        <w:t xml:space="preserve"> que des délais procéduraux, et non des délais de droit matériel fédéral (arrêt commenté, </w:t>
      </w:r>
      <w:proofErr w:type="spellStart"/>
      <w:r w:rsidR="00825574" w:rsidRPr="00F22B7E">
        <w:rPr>
          <w:rFonts w:cs="Arial"/>
        </w:rPr>
        <w:t>consid</w:t>
      </w:r>
      <w:proofErr w:type="spellEnd"/>
      <w:r w:rsidR="00825574" w:rsidRPr="00F22B7E">
        <w:rPr>
          <w:rFonts w:cs="Arial"/>
        </w:rPr>
        <w:t xml:space="preserve">. 2.2.2.4). </w:t>
      </w:r>
      <w:r w:rsidR="007E754C" w:rsidRPr="00F22B7E">
        <w:rPr>
          <w:rFonts w:cs="Arial"/>
        </w:rPr>
        <w:t xml:space="preserve">Le délai de l’article 75 CC étant un délai de droit matériel fédéral, il n’est </w:t>
      </w:r>
      <w:r w:rsidR="00083978" w:rsidRPr="00F22B7E">
        <w:rPr>
          <w:rFonts w:cs="Arial"/>
        </w:rPr>
        <w:t>ainsi</w:t>
      </w:r>
      <w:r w:rsidR="006C506F" w:rsidRPr="00F22B7E">
        <w:rPr>
          <w:rFonts w:cs="Arial"/>
        </w:rPr>
        <w:t xml:space="preserve"> </w:t>
      </w:r>
      <w:r w:rsidR="007E754C" w:rsidRPr="00F22B7E">
        <w:rPr>
          <w:rFonts w:cs="Arial"/>
        </w:rPr>
        <w:t xml:space="preserve">pas visé par </w:t>
      </w:r>
      <w:r w:rsidR="006C506F" w:rsidRPr="00F22B7E">
        <w:rPr>
          <w:rFonts w:cs="Arial"/>
        </w:rPr>
        <w:t>la réserve de l’article 209 al. </w:t>
      </w:r>
      <w:r w:rsidR="007E754C" w:rsidRPr="00F22B7E">
        <w:rPr>
          <w:rFonts w:cs="Arial"/>
        </w:rPr>
        <w:t xml:space="preserve">4 </w:t>
      </w:r>
      <w:proofErr w:type="gramStart"/>
      <w:r w:rsidR="007E754C" w:rsidRPr="00F22B7E">
        <w:rPr>
          <w:rFonts w:cs="Arial"/>
        </w:rPr>
        <w:t>2</w:t>
      </w:r>
      <w:r w:rsidR="007E754C" w:rsidRPr="00F22B7E">
        <w:rPr>
          <w:rFonts w:cs="Arial"/>
          <w:vertAlign w:val="superscript"/>
        </w:rPr>
        <w:t>ème</w:t>
      </w:r>
      <w:r w:rsidR="007E754C" w:rsidRPr="00F22B7E">
        <w:rPr>
          <w:rFonts w:cs="Arial"/>
        </w:rPr>
        <w:t xml:space="preserve"> phrase</w:t>
      </w:r>
      <w:proofErr w:type="gramEnd"/>
      <w:r w:rsidR="002105E4" w:rsidRPr="00F22B7E">
        <w:rPr>
          <w:rFonts w:cs="Arial"/>
        </w:rPr>
        <w:t xml:space="preserve"> CPC</w:t>
      </w:r>
      <w:r w:rsidR="00083978" w:rsidRPr="00F22B7E">
        <w:rPr>
          <w:rFonts w:cs="Arial"/>
        </w:rPr>
        <w:t>. Par voie de conséquence,</w:t>
      </w:r>
      <w:r w:rsidR="007E754C" w:rsidRPr="00F22B7E">
        <w:rPr>
          <w:rFonts w:cs="Arial"/>
        </w:rPr>
        <w:t xml:space="preserve"> le demandeur à une action en contestation d’une décision d’une assemblée de propriétaires d’étages (ou d’une association) qui veut poursuivre l’instance introduite par sa requête de conciliation doit déposer sa demande au fond dans le délai de trois mois à compter de la délivrance</w:t>
      </w:r>
      <w:r w:rsidR="00083978" w:rsidRPr="00F22B7E">
        <w:rPr>
          <w:rFonts w:cs="Arial"/>
        </w:rPr>
        <w:t xml:space="preserve"> de l</w:t>
      </w:r>
      <w:r w:rsidR="002105E4" w:rsidRPr="00F22B7E">
        <w:rPr>
          <w:rFonts w:cs="Arial"/>
        </w:rPr>
        <w:t>’autorisation de procéder (art. </w:t>
      </w:r>
      <w:r w:rsidR="00083978" w:rsidRPr="00F22B7E">
        <w:rPr>
          <w:rFonts w:cs="Arial"/>
        </w:rPr>
        <w:t>209 al. 3 CPC).</w:t>
      </w:r>
    </w:p>
    <w:p w:rsidR="005804CF" w:rsidRPr="00F22B7E" w:rsidRDefault="005804CF" w:rsidP="00EF408A">
      <w:pPr>
        <w:ind w:left="0" w:firstLine="0"/>
      </w:pPr>
    </w:p>
    <w:p w:rsidR="00893F49" w:rsidRPr="00F22B7E" w:rsidRDefault="007E754C" w:rsidP="00EF408A">
      <w:pPr>
        <w:ind w:left="0" w:firstLine="0"/>
      </w:pPr>
      <w:r w:rsidRPr="00F22B7E">
        <w:t>Le propriétaire</w:t>
      </w:r>
      <w:r w:rsidR="008A6974" w:rsidRPr="00F22B7E">
        <w:t xml:space="preserve"> d’étages veillera à agir dans ce délai, dont le calcul se fait conformém</w:t>
      </w:r>
      <w:r w:rsidR="00A81FCB" w:rsidRPr="00F22B7E">
        <w:t xml:space="preserve">ent aux articles 142 à 144 CPC </w:t>
      </w:r>
      <w:r w:rsidR="008A6974" w:rsidRPr="00F22B7E">
        <w:t>et qui est suspendu pendant les féries de l’article 145 CPC. Si le propriétaire d’étages</w:t>
      </w:r>
      <w:r w:rsidRPr="00F22B7E">
        <w:t xml:space="preserve"> ne </w:t>
      </w:r>
      <w:r w:rsidR="008A6974" w:rsidRPr="00F22B7E">
        <w:t>respecte pas le délai de trois mois de l’article 209 al. 3 CPC</w:t>
      </w:r>
      <w:r w:rsidRPr="00F22B7E">
        <w:t>, l’instance qu’il avait introduite par sa requête de conciliation se périmera</w:t>
      </w:r>
      <w:r w:rsidR="00083978" w:rsidRPr="00F22B7E">
        <w:t xml:space="preserve"> et la décision qu’il contestait ne pourra plus </w:t>
      </w:r>
      <w:r w:rsidR="008A6974" w:rsidRPr="00F22B7E">
        <w:t xml:space="preserve">jamais </w:t>
      </w:r>
      <w:r w:rsidR="00083978" w:rsidRPr="00F22B7E">
        <w:t xml:space="preserve">être </w:t>
      </w:r>
      <w:r w:rsidR="00407F41" w:rsidRPr="00F22B7E">
        <w:t xml:space="preserve">contestée ni </w:t>
      </w:r>
      <w:r w:rsidR="00407F41" w:rsidRPr="00F22B7E">
        <w:rPr>
          <w:i/>
        </w:rPr>
        <w:t>a fortiori</w:t>
      </w:r>
      <w:r w:rsidR="00407F41" w:rsidRPr="00F22B7E">
        <w:t xml:space="preserve"> </w:t>
      </w:r>
      <w:r w:rsidR="00083978" w:rsidRPr="00F22B7E">
        <w:t xml:space="preserve">annulée. En effet, le propriétaire d’étages ne sera plus en mesure de contester </w:t>
      </w:r>
      <w:r w:rsidR="00407F41" w:rsidRPr="00F22B7E">
        <w:t xml:space="preserve">en justice </w:t>
      </w:r>
      <w:r w:rsidR="00083978" w:rsidRPr="00F22B7E">
        <w:t xml:space="preserve">la même décision dans </w:t>
      </w:r>
      <w:r w:rsidR="002105E4" w:rsidRPr="00F22B7E">
        <w:t xml:space="preserve">le cadre </w:t>
      </w:r>
      <w:r w:rsidR="002105E4" w:rsidRPr="00F22B7E">
        <w:lastRenderedPageBreak/>
        <w:t>d’</w:t>
      </w:r>
      <w:r w:rsidR="00083978" w:rsidRPr="00F22B7E">
        <w:t xml:space="preserve">une seconde procédure, puisque, </w:t>
      </w:r>
      <w:r w:rsidR="00083978" w:rsidRPr="00F22B7E">
        <w:rPr>
          <w:i/>
        </w:rPr>
        <w:t>de facto</w:t>
      </w:r>
      <w:r w:rsidR="00083978" w:rsidRPr="00F22B7E">
        <w:t>, la seconde requête de conciliation qu’il devrait déposer le serait au-delà du délai d’un mois de l’article 75 CC.</w:t>
      </w:r>
      <w:r w:rsidR="008A6974" w:rsidRPr="00F22B7E">
        <w:t xml:space="preserve"> Comme ce délai est un délai de péremption, et non de prescription, il n’aura pas recommencé à courir par l’effet de la (première) requête de conciliation (art. 138 al. 1 CO</w:t>
      </w:r>
      <w:r w:rsidR="00407F41" w:rsidRPr="00F22B7E">
        <w:t>, applicable aux seuls délais de prescription</w:t>
      </w:r>
      <w:r w:rsidR="008A6974" w:rsidRPr="00F22B7E">
        <w:t xml:space="preserve">). Le droit </w:t>
      </w:r>
      <w:r w:rsidR="00407F41" w:rsidRPr="00F22B7E">
        <w:t xml:space="preserve">d’action </w:t>
      </w:r>
      <w:r w:rsidR="008A6974" w:rsidRPr="00F22B7E">
        <w:t xml:space="preserve">du propriétaire d’étages de contester </w:t>
      </w:r>
      <w:r w:rsidR="00407F41" w:rsidRPr="00F22B7E">
        <w:t xml:space="preserve">en justice </w:t>
      </w:r>
      <w:r w:rsidR="008A6974" w:rsidRPr="00F22B7E">
        <w:t xml:space="preserve">la décision </w:t>
      </w:r>
      <w:r w:rsidR="00407F41" w:rsidRPr="00F22B7E">
        <w:t>prise par l’assemblée des propriétaires d’étages sera ainsi définitivement éteint</w:t>
      </w:r>
      <w:r w:rsidR="008A6974" w:rsidRPr="00F22B7E">
        <w:t>.</w:t>
      </w:r>
    </w:p>
    <w:p w:rsidR="00893F49" w:rsidRPr="00F22B7E" w:rsidRDefault="00893F49" w:rsidP="00EF408A">
      <w:pPr>
        <w:ind w:left="0" w:firstLine="0"/>
      </w:pPr>
    </w:p>
    <w:p w:rsidR="00893F49" w:rsidRPr="00F22B7E" w:rsidRDefault="002105E4" w:rsidP="00EF408A">
      <w:pPr>
        <w:ind w:left="0" w:firstLine="0"/>
        <w:rPr>
          <w:i/>
        </w:rPr>
      </w:pPr>
      <w:r w:rsidRPr="00F22B7E">
        <w:rPr>
          <w:i/>
        </w:rPr>
        <w:t>C. Les droits d’usage particulier</w:t>
      </w:r>
    </w:p>
    <w:p w:rsidR="00893F49" w:rsidRPr="00F22B7E" w:rsidRDefault="00893F49" w:rsidP="00EF408A">
      <w:pPr>
        <w:ind w:left="0" w:firstLine="0"/>
      </w:pPr>
    </w:p>
    <w:p w:rsidR="000F57E1" w:rsidRPr="00F22B7E" w:rsidRDefault="006D18BF" w:rsidP="00EF408A">
      <w:pPr>
        <w:ind w:left="0" w:firstLine="0"/>
      </w:pPr>
      <w:r>
        <w:t>I</w:t>
      </w:r>
      <w:r w:rsidR="000F57E1" w:rsidRPr="00F22B7E">
        <w:t xml:space="preserve">l peut être utile de rappeler que la propriété par étages </w:t>
      </w:r>
      <w:r w:rsidR="000C3844" w:rsidRPr="00F22B7E">
        <w:t xml:space="preserve">consacre un régime </w:t>
      </w:r>
      <w:r w:rsidR="00180DC5" w:rsidRPr="00F22B7E">
        <w:t xml:space="preserve">particulier </w:t>
      </w:r>
      <w:r w:rsidR="000C3844" w:rsidRPr="00F22B7E">
        <w:t xml:space="preserve">de copropriété conférant </w:t>
      </w:r>
      <w:r w:rsidR="0032592F" w:rsidRPr="00F22B7E">
        <w:t>à chaque propriétaire</w:t>
      </w:r>
      <w:r w:rsidR="000C3844" w:rsidRPr="00F22B7E">
        <w:t xml:space="preserve"> </w:t>
      </w:r>
      <w:r w:rsidR="008D3FB2" w:rsidRPr="00F22B7E">
        <w:t>d’</w:t>
      </w:r>
      <w:r w:rsidR="000C3844" w:rsidRPr="00F22B7E">
        <w:t>étage</w:t>
      </w:r>
      <w:r w:rsidR="008D3FB2" w:rsidRPr="00F22B7E">
        <w:t>s</w:t>
      </w:r>
      <w:r w:rsidR="000C3844" w:rsidRPr="00F22B7E">
        <w:t xml:space="preserve"> un droit de copropriété sur le bâtiment considéré dans sa totalité, ainsi qu’un droit exclusif (droit privatif) </w:t>
      </w:r>
      <w:r w:rsidR="0032592F" w:rsidRPr="00F22B7E">
        <w:t xml:space="preserve">lui permettant de jouir de prérogatives </w:t>
      </w:r>
      <w:r w:rsidR="005D7739" w:rsidRPr="00F22B7E">
        <w:t xml:space="preserve">exclusives </w:t>
      </w:r>
      <w:r w:rsidR="0032592F" w:rsidRPr="00F22B7E">
        <w:t xml:space="preserve">sur </w:t>
      </w:r>
      <w:r w:rsidR="005D7739" w:rsidRPr="00F22B7E">
        <w:t>les étages ou parties d’ét</w:t>
      </w:r>
      <w:r w:rsidR="008D3FB2" w:rsidRPr="00F22B7E">
        <w:t xml:space="preserve">ages (art. 712b al. 1 CC), à savoir sur </w:t>
      </w:r>
      <w:r w:rsidR="0032592F" w:rsidRPr="00F22B7E">
        <w:t xml:space="preserve">certaines parties bien </w:t>
      </w:r>
      <w:r w:rsidR="00180DC5" w:rsidRPr="00F22B7E">
        <w:t>déterminées et délimitées</w:t>
      </w:r>
      <w:r w:rsidR="0032592F" w:rsidRPr="00F22B7E">
        <w:t xml:space="preserve"> du bâtiment</w:t>
      </w:r>
      <w:r w:rsidR="005D7739" w:rsidRPr="00F22B7E">
        <w:t xml:space="preserve"> </w:t>
      </w:r>
      <w:r w:rsidR="00180DC5" w:rsidRPr="00F22B7E">
        <w:t xml:space="preserve">appelées </w:t>
      </w:r>
      <w:r w:rsidR="008D3FB2" w:rsidRPr="00F22B7E">
        <w:t xml:space="preserve">aussi </w:t>
      </w:r>
      <w:r w:rsidR="00180DC5" w:rsidRPr="00F22B7E">
        <w:t xml:space="preserve">parties exclusives ou </w:t>
      </w:r>
      <w:r w:rsidR="005D7739" w:rsidRPr="00F22B7E">
        <w:t>privatives</w:t>
      </w:r>
      <w:r w:rsidR="00180DC5" w:rsidRPr="00F22B7E">
        <w:t xml:space="preserve"> (cf. art. 712a CC</w:t>
      </w:r>
      <w:r w:rsidR="005D7739" w:rsidRPr="00F22B7E">
        <w:t>)</w:t>
      </w:r>
      <w:r w:rsidR="0032592F" w:rsidRPr="00F22B7E">
        <w:t>.</w:t>
      </w:r>
    </w:p>
    <w:p w:rsidR="0032592F" w:rsidRPr="00F22B7E" w:rsidRDefault="0032592F" w:rsidP="00EF408A">
      <w:pPr>
        <w:ind w:left="0" w:firstLine="0"/>
      </w:pPr>
    </w:p>
    <w:p w:rsidR="00893F49" w:rsidRPr="00F22B7E" w:rsidRDefault="000A59B0" w:rsidP="00EF408A">
      <w:pPr>
        <w:ind w:left="0" w:firstLine="0"/>
      </w:pPr>
      <w:r w:rsidRPr="00F22B7E">
        <w:t xml:space="preserve">Le droit de copropriété et le droit exclusif </w:t>
      </w:r>
      <w:r w:rsidR="0032592F" w:rsidRPr="00F22B7E">
        <w:t>se distinguent d</w:t>
      </w:r>
      <w:r w:rsidR="005D7739" w:rsidRPr="00F22B7E">
        <w:t>es</w:t>
      </w:r>
      <w:r w:rsidR="0032592F" w:rsidRPr="00F22B7E">
        <w:t xml:space="preserve"> droits d’usage particulier qui, comme le </w:t>
      </w:r>
      <w:r w:rsidR="000F57E1" w:rsidRPr="00F22B7E">
        <w:t>Tribunal fédéral</w:t>
      </w:r>
      <w:r w:rsidR="0032592F" w:rsidRPr="00F22B7E">
        <w:t xml:space="preserve"> </w:t>
      </w:r>
      <w:r w:rsidR="008D3FB2" w:rsidRPr="00F22B7E">
        <w:t>le rappelle</w:t>
      </w:r>
      <w:r w:rsidR="0032592F" w:rsidRPr="00F22B7E">
        <w:t xml:space="preserve"> dans cet arrêt, sont </w:t>
      </w:r>
      <w:r w:rsidR="0032592F" w:rsidRPr="00F22B7E">
        <w:rPr>
          <w:i/>
        </w:rPr>
        <w:t>« de</w:t>
      </w:r>
      <w:r w:rsidR="000F57E1" w:rsidRPr="00F22B7E">
        <w:rPr>
          <w:i/>
        </w:rPr>
        <w:t xml:space="preserve">s droits d’utilisation accordés </w:t>
      </w:r>
      <w:r w:rsidR="0032592F" w:rsidRPr="00F22B7E">
        <w:rPr>
          <w:i/>
        </w:rPr>
        <w:t>à un propriétaire d’étages sur une partie commune lui permettant d’exclure tout acte d’utilisation des autres propriétaires d’étages ou de tiers »</w:t>
      </w:r>
      <w:r w:rsidR="0032592F" w:rsidRPr="00F22B7E">
        <w:t xml:space="preserve"> (arrêt commenté, </w:t>
      </w:r>
      <w:proofErr w:type="spellStart"/>
      <w:r w:rsidR="0032592F" w:rsidRPr="00F22B7E">
        <w:t>consid</w:t>
      </w:r>
      <w:proofErr w:type="spellEnd"/>
      <w:r w:rsidR="0032592F" w:rsidRPr="00F22B7E">
        <w:t>. 3.3.1).</w:t>
      </w:r>
      <w:r w:rsidRPr="00F22B7E">
        <w:t xml:space="preserve"> </w:t>
      </w:r>
      <w:r w:rsidR="00A81FCB" w:rsidRPr="00F22B7E">
        <w:t xml:space="preserve">Contrairement au droit exclusif du propriétaire d’étages, le droit d’usage particulier </w:t>
      </w:r>
      <w:r w:rsidR="00180DC5" w:rsidRPr="00F22B7E">
        <w:t>s’exerc</w:t>
      </w:r>
      <w:r w:rsidR="008D3FB2" w:rsidRPr="00F22B7E">
        <w:t>e</w:t>
      </w:r>
      <w:r w:rsidR="00A81FCB" w:rsidRPr="00F22B7E">
        <w:t xml:space="preserve"> </w:t>
      </w:r>
      <w:r w:rsidRPr="00F22B7E">
        <w:t>sur une partie commune</w:t>
      </w:r>
      <w:r w:rsidR="00A81FCB" w:rsidRPr="00F22B7E">
        <w:t>. Il ne peut d’ailleurs s’exercer ailleurs.</w:t>
      </w:r>
      <w:r w:rsidR="002A0F51" w:rsidRPr="00F22B7E">
        <w:t xml:space="preserve"> Il </w:t>
      </w:r>
      <w:r w:rsidRPr="00F22B7E">
        <w:t xml:space="preserve">portera par exemple sur l’utilisation </w:t>
      </w:r>
      <w:r w:rsidR="005D7739" w:rsidRPr="00F22B7E">
        <w:t>d’une</w:t>
      </w:r>
      <w:r w:rsidRPr="00F22B7E">
        <w:t xml:space="preserve"> </w:t>
      </w:r>
      <w:r w:rsidR="005D7739" w:rsidRPr="00F22B7E">
        <w:t xml:space="preserve">place </w:t>
      </w:r>
      <w:r w:rsidRPr="00F22B7E">
        <w:t xml:space="preserve">de stationnement en plein air, sur l’usage d’une terrasse sur le toit ou </w:t>
      </w:r>
      <w:r w:rsidR="002A0F51" w:rsidRPr="00F22B7E">
        <w:t xml:space="preserve">sur l’usage </w:t>
      </w:r>
      <w:r w:rsidRPr="00F22B7E">
        <w:t>d’une partie d</w:t>
      </w:r>
      <w:r w:rsidR="002A0F51" w:rsidRPr="00F22B7E">
        <w:t>u</w:t>
      </w:r>
      <w:r w:rsidRPr="00F22B7E">
        <w:t xml:space="preserve"> jardin (Wermelinger, </w:t>
      </w:r>
      <w:r w:rsidRPr="00F22B7E">
        <w:rPr>
          <w:i/>
        </w:rPr>
        <w:t xml:space="preserve">op. </w:t>
      </w:r>
      <w:proofErr w:type="spellStart"/>
      <w:proofErr w:type="gramStart"/>
      <w:r w:rsidRPr="00F22B7E">
        <w:rPr>
          <w:i/>
        </w:rPr>
        <w:t>cit</w:t>
      </w:r>
      <w:proofErr w:type="spellEnd"/>
      <w:r w:rsidRPr="00F22B7E">
        <w:t>.,</w:t>
      </w:r>
      <w:proofErr w:type="gramEnd"/>
      <w:r w:rsidRPr="00F22B7E">
        <w:t xml:space="preserve"> p. 48, n. 25).</w:t>
      </w:r>
      <w:r w:rsidR="005D7739" w:rsidRPr="00F22B7E">
        <w:t xml:space="preserve"> </w:t>
      </w:r>
    </w:p>
    <w:p w:rsidR="005D7739" w:rsidRPr="00F22B7E" w:rsidRDefault="005D7739" w:rsidP="00EF408A">
      <w:pPr>
        <w:ind w:left="0" w:firstLine="0"/>
      </w:pPr>
    </w:p>
    <w:p w:rsidR="008568B2" w:rsidRPr="00F22B7E" w:rsidRDefault="005D7739" w:rsidP="00EF408A">
      <w:pPr>
        <w:ind w:left="0" w:firstLine="0"/>
      </w:pPr>
      <w:r w:rsidRPr="00F22B7E">
        <w:t xml:space="preserve">Ces droits d’usage particulier peuvent être constitués en droit réel limité (par exemple, un droit de servitude d’usage d’une place de parc), faire l’objet d’un contrat entre la communauté </w:t>
      </w:r>
      <w:r w:rsidR="00180DC5" w:rsidRPr="00F22B7E">
        <w:t xml:space="preserve">des propriétaires d’étages </w:t>
      </w:r>
      <w:r w:rsidR="00BF0E1D" w:rsidRPr="00F22B7E">
        <w:t xml:space="preserve">(représentée </w:t>
      </w:r>
      <w:r w:rsidR="002A0F51" w:rsidRPr="00F22B7E">
        <w:t xml:space="preserve">le </w:t>
      </w:r>
      <w:r w:rsidR="00BF0E1D" w:rsidRPr="00F22B7E">
        <w:t xml:space="preserve">cas échéant par son administrateur) </w:t>
      </w:r>
      <w:r w:rsidR="00180DC5" w:rsidRPr="00F22B7E">
        <w:t>et un</w:t>
      </w:r>
      <w:r w:rsidRPr="00F22B7E">
        <w:t xml:space="preserve"> </w:t>
      </w:r>
      <w:r w:rsidR="00180DC5" w:rsidRPr="00F22B7E">
        <w:t xml:space="preserve">propriétaire d’étages </w:t>
      </w:r>
      <w:r w:rsidRPr="00F22B7E">
        <w:t>(par exemple, un contrat de bail à loyer), ou encore résulter du règlement d’administrat</w:t>
      </w:r>
      <w:r w:rsidR="008568B2" w:rsidRPr="00F22B7E">
        <w:t>ion et d’utilisation de la PPE.</w:t>
      </w:r>
    </w:p>
    <w:p w:rsidR="008568B2" w:rsidRPr="00F22B7E" w:rsidRDefault="008568B2" w:rsidP="00EF408A">
      <w:pPr>
        <w:ind w:left="0" w:firstLine="0"/>
      </w:pPr>
    </w:p>
    <w:p w:rsidR="008948CD" w:rsidRPr="00F22B7E" w:rsidRDefault="008568B2" w:rsidP="00EF408A">
      <w:pPr>
        <w:ind w:left="0" w:firstLine="0"/>
      </w:pPr>
      <w:r w:rsidRPr="00F22B7E">
        <w:t xml:space="preserve">Lorsque le droit d’usage particulier </w:t>
      </w:r>
      <w:r w:rsidR="00BF0E1D" w:rsidRPr="00F22B7E">
        <w:t xml:space="preserve">trouve </w:t>
      </w:r>
      <w:r w:rsidRPr="00F22B7E">
        <w:t>son</w:t>
      </w:r>
      <w:r w:rsidR="00BF0E1D" w:rsidRPr="00F22B7E">
        <w:t xml:space="preserve"> fondement </w:t>
      </w:r>
      <w:r w:rsidRPr="00F22B7E">
        <w:t>dans</w:t>
      </w:r>
      <w:r w:rsidR="00BF0E1D" w:rsidRPr="00F22B7E">
        <w:t xml:space="preserve"> le règlement d’adm</w:t>
      </w:r>
      <w:r w:rsidRPr="00F22B7E">
        <w:t xml:space="preserve">inistration et d’utilisation, </w:t>
      </w:r>
      <w:r w:rsidR="0078594E" w:rsidRPr="00F22B7E">
        <w:t>sa</w:t>
      </w:r>
      <w:r w:rsidRPr="00F22B7E">
        <w:t xml:space="preserve"> modification </w:t>
      </w:r>
      <w:r w:rsidR="008948CD" w:rsidRPr="00F22B7E">
        <w:t xml:space="preserve">ou </w:t>
      </w:r>
      <w:r w:rsidR="0078594E" w:rsidRPr="00F22B7E">
        <w:t xml:space="preserve">sa </w:t>
      </w:r>
      <w:r w:rsidR="008948CD" w:rsidRPr="00F22B7E">
        <w:t xml:space="preserve">suppression </w:t>
      </w:r>
      <w:r w:rsidRPr="00F22B7E">
        <w:t>doit impérativement être approuvée par le propriétaire d’étage</w:t>
      </w:r>
      <w:r w:rsidR="001B5B48">
        <w:t>s</w:t>
      </w:r>
      <w:r w:rsidRPr="00F22B7E">
        <w:t xml:space="preserve"> concerné (art. 712g al. 4 CC) et ce, même si le droit d’usage particulier a été </w:t>
      </w:r>
      <w:r w:rsidR="00BE3816" w:rsidRPr="00F22B7E">
        <w:t>constitué</w:t>
      </w:r>
      <w:r w:rsidRPr="00F22B7E">
        <w:t xml:space="preserve"> avant le 1</w:t>
      </w:r>
      <w:r w:rsidRPr="00F22B7E">
        <w:rPr>
          <w:vertAlign w:val="superscript"/>
        </w:rPr>
        <w:t>er</w:t>
      </w:r>
      <w:r w:rsidRPr="00F22B7E">
        <w:t xml:space="preserve"> janvier 2012, date de l’entrée en vigueur de </w:t>
      </w:r>
      <w:r w:rsidR="008D3FB2" w:rsidRPr="00F22B7E">
        <w:t>l’article 712g al. 4 CC</w:t>
      </w:r>
      <w:r w:rsidRPr="00F22B7E">
        <w:t xml:space="preserve"> (arrêt commenté, </w:t>
      </w:r>
      <w:proofErr w:type="spellStart"/>
      <w:r w:rsidRPr="00F22B7E">
        <w:t>consid</w:t>
      </w:r>
      <w:proofErr w:type="spellEnd"/>
      <w:r w:rsidRPr="00F22B7E">
        <w:t>. 3.3.1).</w:t>
      </w:r>
      <w:r w:rsidR="00F947B6" w:rsidRPr="00F22B7E">
        <w:t xml:space="preserve"> </w:t>
      </w:r>
      <w:r w:rsidR="008948CD" w:rsidRPr="00F22B7E">
        <w:t>En d’autres termes, le propriétaire d’</w:t>
      </w:r>
      <w:r w:rsidR="00BE3816" w:rsidRPr="00F22B7E">
        <w:t xml:space="preserve">étages titulaire </w:t>
      </w:r>
      <w:r w:rsidR="008D3FB2" w:rsidRPr="00F22B7E">
        <w:t>d’un</w:t>
      </w:r>
      <w:r w:rsidR="00BE3816" w:rsidRPr="00F22B7E">
        <w:t xml:space="preserve"> droit </w:t>
      </w:r>
      <w:r w:rsidR="008948CD" w:rsidRPr="00F22B7E">
        <w:t xml:space="preserve">d’usage particulier </w:t>
      </w:r>
      <w:r w:rsidR="008D3FB2" w:rsidRPr="00F22B7E">
        <w:t xml:space="preserve">règlementaire </w:t>
      </w:r>
      <w:r w:rsidR="008948CD" w:rsidRPr="00F22B7E">
        <w:t xml:space="preserve">dispose </w:t>
      </w:r>
      <w:r w:rsidR="0078594E" w:rsidRPr="00F22B7E">
        <w:t xml:space="preserve">désormais </w:t>
      </w:r>
      <w:r w:rsidR="008948CD" w:rsidRPr="00F22B7E">
        <w:t xml:space="preserve">d’un droit légal de veto à sa modification ou à sa suppression. </w:t>
      </w:r>
      <w:r w:rsidR="0078594E" w:rsidRPr="00F22B7E">
        <w:t xml:space="preserve">L’article 712g al. 4 CC a donc introduit un changement notable en la matière puisque, sous l’ancien droit, les droits d’usage particulier règlementaires pouvaient, sauf disposition règlementaire contraire, être modifiés ou supprimés à la majorité qualifiée des propriétaires d’étages et des quotes-parts, </w:t>
      </w:r>
      <w:r w:rsidR="002A0F51" w:rsidRPr="00F22B7E">
        <w:t xml:space="preserve">le </w:t>
      </w:r>
      <w:r w:rsidR="0078594E" w:rsidRPr="00F22B7E">
        <w:t xml:space="preserve">cas échéant contre la volonté </w:t>
      </w:r>
      <w:r w:rsidR="008D3FB2" w:rsidRPr="00F22B7E">
        <w:t>des</w:t>
      </w:r>
      <w:r w:rsidR="0078594E" w:rsidRPr="00F22B7E">
        <w:t xml:space="preserve"> bénéficiaire</w:t>
      </w:r>
      <w:r w:rsidR="008D3FB2" w:rsidRPr="00F22B7E">
        <w:t>s</w:t>
      </w:r>
      <w:r w:rsidR="0078594E" w:rsidRPr="00F22B7E">
        <w:t xml:space="preserve"> (Wermelinger, </w:t>
      </w:r>
      <w:r w:rsidR="0078594E" w:rsidRPr="00F22B7E">
        <w:rPr>
          <w:i/>
        </w:rPr>
        <w:t xml:space="preserve">op. </w:t>
      </w:r>
      <w:proofErr w:type="spellStart"/>
      <w:proofErr w:type="gramStart"/>
      <w:r w:rsidR="0078594E" w:rsidRPr="00F22B7E">
        <w:rPr>
          <w:i/>
        </w:rPr>
        <w:t>cit</w:t>
      </w:r>
      <w:proofErr w:type="spellEnd"/>
      <w:r w:rsidR="0078594E" w:rsidRPr="00F22B7E">
        <w:t>.,</w:t>
      </w:r>
      <w:proofErr w:type="gramEnd"/>
      <w:r w:rsidR="0078594E" w:rsidRPr="00F22B7E">
        <w:t xml:space="preserve"> n. 206 </w:t>
      </w:r>
      <w:r w:rsidR="0078594E" w:rsidRPr="00F22B7E">
        <w:rPr>
          <w:i/>
        </w:rPr>
        <w:t>ad</w:t>
      </w:r>
      <w:r w:rsidR="0078594E" w:rsidRPr="00F22B7E">
        <w:t xml:space="preserve"> art. 712g).</w:t>
      </w:r>
    </w:p>
    <w:p w:rsidR="008948CD" w:rsidRPr="00F22B7E" w:rsidRDefault="008948CD" w:rsidP="00EF408A">
      <w:pPr>
        <w:ind w:left="0" w:firstLine="0"/>
      </w:pPr>
    </w:p>
    <w:p w:rsidR="00C72722" w:rsidRPr="00F22B7E" w:rsidRDefault="00BE3816" w:rsidP="00EF408A">
      <w:pPr>
        <w:ind w:left="0" w:firstLine="0"/>
      </w:pPr>
      <w:r w:rsidRPr="00F22B7E">
        <w:t xml:space="preserve">Autre est la question de savoir quelle est </w:t>
      </w:r>
      <w:r w:rsidR="008948CD" w:rsidRPr="00F22B7E">
        <w:t>la règle</w:t>
      </w:r>
      <w:r w:rsidR="00C60D02" w:rsidRPr="00F22B7E">
        <w:t xml:space="preserve"> </w:t>
      </w:r>
      <w:r w:rsidR="002A0F51" w:rsidRPr="00F22B7E">
        <w:t xml:space="preserve">de majorité </w:t>
      </w:r>
      <w:r w:rsidR="00C60D02" w:rsidRPr="00F22B7E">
        <w:t>qui doi</w:t>
      </w:r>
      <w:r w:rsidRPr="00F22B7E">
        <w:t xml:space="preserve">t </w:t>
      </w:r>
      <w:r w:rsidR="008948CD" w:rsidRPr="00F22B7E">
        <w:t xml:space="preserve">par ailleurs </w:t>
      </w:r>
      <w:r w:rsidRPr="00F22B7E">
        <w:t>être observée</w:t>
      </w:r>
      <w:r w:rsidR="008948CD" w:rsidRPr="00F22B7E">
        <w:t xml:space="preserve"> </w:t>
      </w:r>
      <w:r w:rsidR="001B3C46" w:rsidRPr="00F22B7E">
        <w:t xml:space="preserve">par l’assemblée des propriétaires d’étages </w:t>
      </w:r>
      <w:r w:rsidR="008948CD" w:rsidRPr="00F22B7E">
        <w:t xml:space="preserve">pour </w:t>
      </w:r>
      <w:r w:rsidR="007F272F" w:rsidRPr="00F22B7E">
        <w:t xml:space="preserve">modifier en la matière le règlement d’administration et d’utilisation. </w:t>
      </w:r>
      <w:r w:rsidR="001D06EB" w:rsidRPr="00F22B7E">
        <w:t>L</w:t>
      </w:r>
      <w:r w:rsidR="007F272F" w:rsidRPr="00F22B7E">
        <w:t xml:space="preserve">’article 712g al. 3 CC prescrit que le règlement peut être modifié par décision prise à la majorité des propriétaires d’étages représentant en outre plus de la moitié de la valeur des parts. </w:t>
      </w:r>
      <w:r w:rsidR="00C72722" w:rsidRPr="00F22B7E">
        <w:t>Selon Wermelinger (</w:t>
      </w:r>
      <w:r w:rsidR="00C72722" w:rsidRPr="00F22B7E">
        <w:rPr>
          <w:i/>
        </w:rPr>
        <w:t xml:space="preserve">op. </w:t>
      </w:r>
      <w:proofErr w:type="spellStart"/>
      <w:proofErr w:type="gramStart"/>
      <w:r w:rsidR="00C72722" w:rsidRPr="00F22B7E">
        <w:rPr>
          <w:i/>
        </w:rPr>
        <w:t>cit</w:t>
      </w:r>
      <w:proofErr w:type="spellEnd"/>
      <w:r w:rsidR="008D3FB2" w:rsidRPr="00F22B7E">
        <w:t>.,</w:t>
      </w:r>
      <w:proofErr w:type="gramEnd"/>
      <w:r w:rsidR="008D3FB2" w:rsidRPr="00F22B7E">
        <w:t xml:space="preserve"> n. 40 ad art. </w:t>
      </w:r>
      <w:r w:rsidR="00C72722" w:rsidRPr="00F22B7E">
        <w:t xml:space="preserve">712g), la possibilité de modifier le règlement à la double majorité des propriétaires d’étages et des quotes-parts </w:t>
      </w:r>
      <w:r w:rsidR="001E21E8" w:rsidRPr="00F22B7E">
        <w:t>doit être</w:t>
      </w:r>
      <w:r w:rsidR="00C72722" w:rsidRPr="00F22B7E">
        <w:t xml:space="preserve"> d</w:t>
      </w:r>
      <w:r w:rsidR="002A0F51" w:rsidRPr="00F22B7E">
        <w:t>onnée</w:t>
      </w:r>
      <w:r w:rsidR="001E21E8" w:rsidRPr="00F22B7E">
        <w:t xml:space="preserve"> </w:t>
      </w:r>
      <w:r w:rsidR="001B3C46" w:rsidRPr="00F22B7E">
        <w:t>même si le règlement a</w:t>
      </w:r>
      <w:r w:rsidR="00C72722" w:rsidRPr="00F22B7E">
        <w:t xml:space="preserve"> été adopté à l’unanimité. Toujours selon cet auteur, il serait aussi possible</w:t>
      </w:r>
      <w:r w:rsidR="00A71A97" w:rsidRPr="00F22B7E">
        <w:t>, par un vote unanime,</w:t>
      </w:r>
      <w:r w:rsidR="00C72722" w:rsidRPr="00F22B7E">
        <w:t xml:space="preserve"> d’alléger, mais non d’aggraver ces conditions, de sorte que le rè</w:t>
      </w:r>
      <w:r w:rsidR="001E21E8" w:rsidRPr="00F22B7E">
        <w:t xml:space="preserve">glement ne pourrait </w:t>
      </w:r>
      <w:r w:rsidR="00C72722" w:rsidRPr="00F22B7E">
        <w:t>imposer valablement le principe de l’unanimité des propriétaires d’étages pour toute modification règlementaire (</w:t>
      </w:r>
      <w:r w:rsidR="001B3C46" w:rsidRPr="00F22B7E">
        <w:t xml:space="preserve">Wermelinger, </w:t>
      </w:r>
      <w:r w:rsidR="001B3C46" w:rsidRPr="00F22B7E">
        <w:rPr>
          <w:i/>
        </w:rPr>
        <w:t xml:space="preserve">op. </w:t>
      </w:r>
      <w:proofErr w:type="spellStart"/>
      <w:proofErr w:type="gramStart"/>
      <w:r w:rsidR="001B3C46" w:rsidRPr="00F22B7E">
        <w:rPr>
          <w:i/>
        </w:rPr>
        <w:t>cit</w:t>
      </w:r>
      <w:proofErr w:type="spellEnd"/>
      <w:r w:rsidR="001B3C46" w:rsidRPr="00F22B7E">
        <w:t>.,</w:t>
      </w:r>
      <w:proofErr w:type="gramEnd"/>
      <w:r w:rsidR="001B3C46" w:rsidRPr="00F22B7E">
        <w:t xml:space="preserve"> n. 40 et 145 </w:t>
      </w:r>
      <w:r w:rsidR="001B3C46" w:rsidRPr="00F22B7E">
        <w:rPr>
          <w:i/>
        </w:rPr>
        <w:t>ad</w:t>
      </w:r>
      <w:r w:rsidR="001D06EB" w:rsidRPr="00F22B7E">
        <w:t xml:space="preserve"> art. 712g</w:t>
      </w:r>
      <w:r w:rsidR="00C72722" w:rsidRPr="00F22B7E">
        <w:t>).</w:t>
      </w:r>
    </w:p>
    <w:p w:rsidR="00C72722" w:rsidRPr="00F22B7E" w:rsidRDefault="00C72722" w:rsidP="00EF408A">
      <w:pPr>
        <w:ind w:left="0" w:firstLine="0"/>
      </w:pPr>
    </w:p>
    <w:p w:rsidR="00B5461C" w:rsidRPr="00F22B7E" w:rsidRDefault="00C72722" w:rsidP="00EF408A">
      <w:pPr>
        <w:ind w:left="0" w:firstLine="0"/>
      </w:pPr>
      <w:r w:rsidRPr="00F22B7E">
        <w:t>Le Tribunal fédéral, qui avait déjà laissé cette question ouverte dans l’ATF 130 III 450 (</w:t>
      </w:r>
      <w:proofErr w:type="spellStart"/>
      <w:r w:rsidRPr="00F22B7E">
        <w:t>JdT</w:t>
      </w:r>
      <w:proofErr w:type="spellEnd"/>
      <w:r w:rsidRPr="00F22B7E">
        <w:t xml:space="preserve"> 2004 I 177</w:t>
      </w:r>
      <w:r w:rsidR="001D06EB" w:rsidRPr="00F22B7E">
        <w:t>; TF 5C.50/2004</w:t>
      </w:r>
      <w:r w:rsidRPr="00F22B7E">
        <w:t xml:space="preserve">), </w:t>
      </w:r>
      <w:r w:rsidR="001B3C46" w:rsidRPr="00F22B7E">
        <w:t xml:space="preserve">ne la tranche toujours pas. </w:t>
      </w:r>
      <w:r w:rsidR="00536E65" w:rsidRPr="00F22B7E">
        <w:t>En l’espèce</w:t>
      </w:r>
      <w:r w:rsidR="001E21E8" w:rsidRPr="00F22B7E">
        <w:t>,</w:t>
      </w:r>
      <w:r w:rsidR="00536E65" w:rsidRPr="00F22B7E">
        <w:t xml:space="preserve"> </w:t>
      </w:r>
      <w:r w:rsidR="00D93CA7" w:rsidRPr="00F22B7E">
        <w:t xml:space="preserve">le règlement </w:t>
      </w:r>
      <w:r w:rsidR="00B6051F" w:rsidRPr="00F22B7E">
        <w:t>subor</w:t>
      </w:r>
      <w:r w:rsidR="002A0F51" w:rsidRPr="00F22B7E">
        <w:t>donnait</w:t>
      </w:r>
      <w:r w:rsidR="006D18BF">
        <w:t xml:space="preserve"> la modification des</w:t>
      </w:r>
      <w:r w:rsidR="00B6051F" w:rsidRPr="00F22B7E">
        <w:t xml:space="preserve"> droit</w:t>
      </w:r>
      <w:r w:rsidR="006D18BF">
        <w:t>s</w:t>
      </w:r>
      <w:r w:rsidR="00B6051F" w:rsidRPr="00F22B7E">
        <w:t xml:space="preserve"> d’usage particulier </w:t>
      </w:r>
      <w:r w:rsidR="008D3FB2" w:rsidRPr="00F22B7E">
        <w:t>règlementaire</w:t>
      </w:r>
      <w:r w:rsidR="006D18BF">
        <w:t>s</w:t>
      </w:r>
      <w:r w:rsidR="008D3FB2" w:rsidRPr="00F22B7E">
        <w:t xml:space="preserve"> </w:t>
      </w:r>
      <w:r w:rsidR="00B6051F" w:rsidRPr="00F22B7E">
        <w:t>à une décision prise à l’unanimité des propriétaires d’étages</w:t>
      </w:r>
      <w:r w:rsidR="002A0F51" w:rsidRPr="00F22B7E">
        <w:t xml:space="preserve">. Cette règle de l’unanimité avait été confirmée </w:t>
      </w:r>
      <w:r w:rsidR="006D18BF" w:rsidRPr="00F22B7E">
        <w:t xml:space="preserve">le 20 janvier 2010 </w:t>
      </w:r>
      <w:r w:rsidR="002A0F51" w:rsidRPr="00F22B7E">
        <w:t xml:space="preserve">par une décision </w:t>
      </w:r>
      <w:r w:rsidR="00A71A97" w:rsidRPr="00F22B7E">
        <w:t xml:space="preserve">prise </w:t>
      </w:r>
      <w:r w:rsidR="006D18BF" w:rsidRPr="00F22B7E">
        <w:t xml:space="preserve">à l’unanimité </w:t>
      </w:r>
      <w:r w:rsidR="00A71A97" w:rsidRPr="00F22B7E">
        <w:t>par l’assem</w:t>
      </w:r>
      <w:r w:rsidR="006D18BF">
        <w:t>blée des propriétaires d’étages</w:t>
      </w:r>
      <w:r w:rsidR="002A0F51" w:rsidRPr="00F22B7E">
        <w:t>. Or</w:t>
      </w:r>
      <w:r w:rsidR="00536E65" w:rsidRPr="00F22B7E">
        <w:t xml:space="preserve">, </w:t>
      </w:r>
      <w:r w:rsidR="002A0F51" w:rsidRPr="00F22B7E">
        <w:t xml:space="preserve">l’année suivante, soit le 3 mars 2011, l’assemblée des propriétaires d’étages avait décidé, </w:t>
      </w:r>
      <w:r w:rsidR="005B7220" w:rsidRPr="00F22B7E">
        <w:t xml:space="preserve">cette fois </w:t>
      </w:r>
      <w:proofErr w:type="gramStart"/>
      <w:r w:rsidR="002A0F51" w:rsidRPr="00F22B7E">
        <w:t>à la</w:t>
      </w:r>
      <w:proofErr w:type="gramEnd"/>
      <w:r w:rsidR="002A0F51" w:rsidRPr="00F22B7E">
        <w:t xml:space="preserve"> double majorité</w:t>
      </w:r>
      <w:r w:rsidR="00536E65" w:rsidRPr="00F22B7E">
        <w:t>, de modifier le</w:t>
      </w:r>
      <w:r w:rsidR="006D18BF">
        <w:t>s</w:t>
      </w:r>
      <w:r w:rsidR="00536E65" w:rsidRPr="00F22B7E">
        <w:t xml:space="preserve"> droit</w:t>
      </w:r>
      <w:r w:rsidR="006D18BF">
        <w:t>s</w:t>
      </w:r>
      <w:r w:rsidR="00536E65" w:rsidRPr="00F22B7E">
        <w:t xml:space="preserve"> d’usage particulier</w:t>
      </w:r>
      <w:r w:rsidR="006D18BF">
        <w:t xml:space="preserve"> règlementaires</w:t>
      </w:r>
      <w:r w:rsidR="00536E65" w:rsidRPr="00F22B7E">
        <w:t xml:space="preserve">. </w:t>
      </w:r>
      <w:r w:rsidR="002A0F51" w:rsidRPr="00F22B7E">
        <w:t>Le seul propriétaire d’étages qui s’était opposé à cette décision en a requis l’annulation en justice</w:t>
      </w:r>
      <w:r w:rsidR="005B7220" w:rsidRPr="00F22B7E">
        <w:t>. L</w:t>
      </w:r>
      <w:r w:rsidR="002A0F51" w:rsidRPr="00F22B7E">
        <w:t xml:space="preserve">e Tribunal fédéral </w:t>
      </w:r>
      <w:r w:rsidR="005B7220" w:rsidRPr="00F22B7E">
        <w:t>lui a donné raison</w:t>
      </w:r>
      <w:r w:rsidR="00924E83" w:rsidRPr="00F22B7E">
        <w:t>,</w:t>
      </w:r>
      <w:r w:rsidR="005B7220" w:rsidRPr="00F22B7E">
        <w:t xml:space="preserve"> au motif </w:t>
      </w:r>
      <w:r w:rsidR="008D3FB2" w:rsidRPr="00F22B7E">
        <w:t>que</w:t>
      </w:r>
      <w:r w:rsidR="00A57D85" w:rsidRPr="00F22B7E">
        <w:t xml:space="preserve"> les propriétaires d’étages</w:t>
      </w:r>
      <w:r w:rsidR="008D3FB2" w:rsidRPr="00F22B7E">
        <w:t>,</w:t>
      </w:r>
      <w:r w:rsidR="00A57D85" w:rsidRPr="00F22B7E">
        <w:t xml:space="preserve"> </w:t>
      </w:r>
      <w:r w:rsidR="008D3FB2" w:rsidRPr="00F22B7E">
        <w:t xml:space="preserve">par </w:t>
      </w:r>
      <w:r w:rsidR="005B7220" w:rsidRPr="00F22B7E">
        <w:t xml:space="preserve">leur </w:t>
      </w:r>
      <w:r w:rsidR="008D3FB2" w:rsidRPr="00F22B7E">
        <w:t>décision unanime</w:t>
      </w:r>
      <w:r w:rsidR="005B7220" w:rsidRPr="00F22B7E">
        <w:t xml:space="preserve"> du 20 janvier 2010</w:t>
      </w:r>
      <w:r w:rsidR="008D3FB2" w:rsidRPr="00F22B7E">
        <w:t xml:space="preserve">, </w:t>
      </w:r>
      <w:r w:rsidR="00A57D85" w:rsidRPr="00F22B7E">
        <w:t xml:space="preserve">étaient convenus </w:t>
      </w:r>
      <w:r w:rsidR="005B7220" w:rsidRPr="00F22B7E">
        <w:t>q</w:t>
      </w:r>
      <w:r w:rsidR="00A57D85" w:rsidRPr="00F22B7E">
        <w:t>ue les droits d’usage particulier ne pouvaient être modifiés qu’à l’unanimité</w:t>
      </w:r>
      <w:r w:rsidR="005B7220" w:rsidRPr="00F22B7E">
        <w:t xml:space="preserve"> et qu</w:t>
      </w:r>
      <w:r w:rsidR="00924E83" w:rsidRPr="00F22B7E">
        <w:t xml:space="preserve">’en conséquence, </w:t>
      </w:r>
      <w:r w:rsidR="006D18BF">
        <w:t xml:space="preserve">la modification de ces droits </w:t>
      </w:r>
      <w:r w:rsidR="005B7220" w:rsidRPr="00F22B7E">
        <w:t xml:space="preserve">ne pouvait être </w:t>
      </w:r>
      <w:r w:rsidR="006D18BF">
        <w:t xml:space="preserve">décidée </w:t>
      </w:r>
      <w:r w:rsidR="005B7220" w:rsidRPr="00F22B7E">
        <w:t xml:space="preserve">valablement </w:t>
      </w:r>
      <w:r w:rsidR="00924E83" w:rsidRPr="00F22B7E">
        <w:t xml:space="preserve">l’année suivante </w:t>
      </w:r>
      <w:r w:rsidR="005B7220" w:rsidRPr="00F22B7E">
        <w:t>à la double majorité</w:t>
      </w:r>
      <w:r w:rsidR="006D18BF">
        <w:t xml:space="preserve"> seulement</w:t>
      </w:r>
      <w:r w:rsidR="005B7220" w:rsidRPr="00F22B7E">
        <w:t xml:space="preserve">. </w:t>
      </w:r>
      <w:r w:rsidR="00924E83" w:rsidRPr="00F22B7E">
        <w:t>Pour ces motifs, l</w:t>
      </w:r>
      <w:r w:rsidR="005B7220" w:rsidRPr="00F22B7E">
        <w:t xml:space="preserve">e </w:t>
      </w:r>
      <w:r w:rsidR="00541F7C" w:rsidRPr="00F22B7E">
        <w:t xml:space="preserve">Tribunal fédéral </w:t>
      </w:r>
      <w:r w:rsidR="00924E83" w:rsidRPr="00F22B7E">
        <w:t xml:space="preserve">n’a pas eu besoin de trancher </w:t>
      </w:r>
      <w:r w:rsidR="00541F7C" w:rsidRPr="00F22B7E">
        <w:t>la question de la compatibilité de la règle de l’unanimité, prévue dans le règlement, avec celle de la double majorité aménagée par l’art</w:t>
      </w:r>
      <w:r w:rsidR="007B4289" w:rsidRPr="00F22B7E">
        <w:t>icle</w:t>
      </w:r>
      <w:r w:rsidR="00541F7C" w:rsidRPr="00F22B7E">
        <w:t xml:space="preserve"> 712g al. 3 CC.</w:t>
      </w:r>
    </w:p>
    <w:p w:rsidR="005B7220" w:rsidRPr="00F22B7E" w:rsidRDefault="005B7220" w:rsidP="00EF408A">
      <w:pPr>
        <w:ind w:left="0" w:firstLine="0"/>
      </w:pPr>
    </w:p>
    <w:p w:rsidR="001E21E8" w:rsidRPr="00F22B7E" w:rsidRDefault="00710D49" w:rsidP="00EF408A">
      <w:pPr>
        <w:ind w:left="0" w:firstLine="0"/>
      </w:pPr>
      <w:r w:rsidRPr="00F22B7E">
        <w:t xml:space="preserve">C’est donc le </w:t>
      </w:r>
      <w:r w:rsidR="00D7090A" w:rsidRPr="00F22B7E">
        <w:t xml:space="preserve">fait </w:t>
      </w:r>
      <w:r w:rsidR="00115B5C" w:rsidRPr="00F22B7E">
        <w:t xml:space="preserve">pour </w:t>
      </w:r>
      <w:r w:rsidR="00D7090A" w:rsidRPr="00F22B7E">
        <w:t xml:space="preserve">les propriétaires d’étages </w:t>
      </w:r>
      <w:r w:rsidR="00115B5C" w:rsidRPr="00F22B7E">
        <w:t xml:space="preserve">d’avoir confirmé, par décision </w:t>
      </w:r>
      <w:r w:rsidR="00E34F68" w:rsidRPr="00F22B7E">
        <w:t xml:space="preserve">unanime </w:t>
      </w:r>
      <w:r w:rsidR="00115B5C" w:rsidRPr="00F22B7E">
        <w:t>du 20 janvier 2010, la disposition règlementaire qui imposait déjà l’unanimité à toute modification de</w:t>
      </w:r>
      <w:r w:rsidR="00D7090A" w:rsidRPr="00F22B7E">
        <w:t>s droits d’usage particulier</w:t>
      </w:r>
      <w:r w:rsidR="008D3FB2" w:rsidRPr="00F22B7E">
        <w:t xml:space="preserve"> règlementaires</w:t>
      </w:r>
      <w:r w:rsidR="00115B5C" w:rsidRPr="00F22B7E">
        <w:t xml:space="preserve">, qui a empêché </w:t>
      </w:r>
      <w:r w:rsidR="008D3FB2" w:rsidRPr="00F22B7E">
        <w:t>en 2011</w:t>
      </w:r>
      <w:r w:rsidR="00115B5C" w:rsidRPr="00F22B7E">
        <w:t xml:space="preserve"> l’assemblée des propriétaires d’étage</w:t>
      </w:r>
      <w:r w:rsidR="001B5B48">
        <w:t>s</w:t>
      </w:r>
      <w:r w:rsidR="00115B5C" w:rsidRPr="00F22B7E">
        <w:t xml:space="preserve"> de modifier</w:t>
      </w:r>
      <w:r w:rsidR="00EC3818" w:rsidRPr="00F22B7E">
        <w:t xml:space="preserve"> le règlement sur ce point par un vote à la double majorité</w:t>
      </w:r>
      <w:r w:rsidR="00115B5C" w:rsidRPr="00F22B7E">
        <w:t xml:space="preserve">. </w:t>
      </w:r>
      <w:r w:rsidR="00E34F68" w:rsidRPr="00F22B7E">
        <w:t xml:space="preserve">La </w:t>
      </w:r>
      <w:r w:rsidR="00115B5C" w:rsidRPr="00F22B7E">
        <w:t xml:space="preserve">décision </w:t>
      </w:r>
      <w:r w:rsidR="00E34F68" w:rsidRPr="00F22B7E">
        <w:t xml:space="preserve">du Tribunal fédéral </w:t>
      </w:r>
      <w:r w:rsidR="0059415D" w:rsidRPr="00F22B7E">
        <w:t>se comprend</w:t>
      </w:r>
      <w:r w:rsidR="00115B5C" w:rsidRPr="00F22B7E">
        <w:t>.</w:t>
      </w:r>
      <w:r w:rsidRPr="00F22B7E">
        <w:t xml:space="preserve"> L’unanimité </w:t>
      </w:r>
      <w:r w:rsidR="00E34F68" w:rsidRPr="00F22B7E">
        <w:t xml:space="preserve">à laquelle </w:t>
      </w:r>
      <w:r w:rsidRPr="00F22B7E">
        <w:t xml:space="preserve">tous </w:t>
      </w:r>
      <w:r w:rsidR="00E34F68" w:rsidRPr="00F22B7E">
        <w:t>les propriét</w:t>
      </w:r>
      <w:r w:rsidR="0059415D" w:rsidRPr="00F22B7E">
        <w:t xml:space="preserve">aires d’étages ont décidé de </w:t>
      </w:r>
      <w:r w:rsidR="00E34F68" w:rsidRPr="00F22B7E">
        <w:t xml:space="preserve">soumettre </w:t>
      </w:r>
      <w:r w:rsidR="0059415D" w:rsidRPr="00F22B7E">
        <w:t xml:space="preserve">toute modification des droits d’usage particulier règlementaires </w:t>
      </w:r>
      <w:r w:rsidRPr="00F22B7E">
        <w:t xml:space="preserve">ne </w:t>
      </w:r>
      <w:r w:rsidR="00FE6594">
        <w:t>pouvait</w:t>
      </w:r>
      <w:r w:rsidR="0059415D" w:rsidRPr="00F22B7E">
        <w:t xml:space="preserve"> ensuite autoriser les mêmes propriétaires à </w:t>
      </w:r>
      <w:r w:rsidRPr="00F22B7E">
        <w:t>modifi</w:t>
      </w:r>
      <w:r w:rsidR="0059415D" w:rsidRPr="00F22B7E">
        <w:t>er</w:t>
      </w:r>
      <w:r w:rsidRPr="00F22B7E">
        <w:t xml:space="preserve"> </w:t>
      </w:r>
      <w:r w:rsidR="001B5B48">
        <w:t xml:space="preserve">valablement </w:t>
      </w:r>
      <w:r w:rsidR="0059415D" w:rsidRPr="00F22B7E">
        <w:t xml:space="preserve">ces droits d’usage particulier </w:t>
      </w:r>
      <w:r w:rsidRPr="00F22B7E">
        <w:t xml:space="preserve">par un vote </w:t>
      </w:r>
      <w:r w:rsidR="0059415D" w:rsidRPr="00F22B7E">
        <w:t xml:space="preserve">ne respectant pas la règle de l’unanimité. Cela dit, on peut </w:t>
      </w:r>
      <w:r w:rsidR="006E4964">
        <w:t xml:space="preserve">néanmoins </w:t>
      </w:r>
      <w:r w:rsidR="0059415D" w:rsidRPr="00F22B7E">
        <w:t xml:space="preserve">se demander si le raisonnement de la Haute Cour n’implique pas, en soi, une reconnaissance de la compatibilité de la règle de l’unanimité, prévue dans le règlement, avec celle de la double majorité </w:t>
      </w:r>
      <w:r w:rsidR="001B5B48">
        <w:t>aménagée par l’article 712g al. </w:t>
      </w:r>
      <w:bookmarkStart w:id="0" w:name="_GoBack"/>
      <w:bookmarkEnd w:id="0"/>
      <w:r w:rsidR="0059415D" w:rsidRPr="00F22B7E">
        <w:t>3 CC</w:t>
      </w:r>
      <w:r w:rsidR="001B5B48">
        <w:t xml:space="preserve"> puisque, de fait, il a annulé une décision qui avait été prise, non pas à l’unanimité, mais à la double majorité et qui visait précisément à modifier le règlement d’administration et d’utilisation</w:t>
      </w:r>
      <w:r w:rsidR="0059415D" w:rsidRPr="00F22B7E">
        <w:t>.</w:t>
      </w:r>
    </w:p>
    <w:sectPr w:rsidR="001E21E8" w:rsidRPr="00F22B7E" w:rsidSect="00D33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8A"/>
    <w:rsid w:val="00036415"/>
    <w:rsid w:val="00083978"/>
    <w:rsid w:val="00087DF1"/>
    <w:rsid w:val="000A4600"/>
    <w:rsid w:val="000A59B0"/>
    <w:rsid w:val="000C3844"/>
    <w:rsid w:val="000F57E1"/>
    <w:rsid w:val="00114F57"/>
    <w:rsid w:val="00115B5C"/>
    <w:rsid w:val="00121AFA"/>
    <w:rsid w:val="00146FAC"/>
    <w:rsid w:val="00157C78"/>
    <w:rsid w:val="00180DC5"/>
    <w:rsid w:val="001B3C46"/>
    <w:rsid w:val="001B5B48"/>
    <w:rsid w:val="001D06EB"/>
    <w:rsid w:val="001E21E8"/>
    <w:rsid w:val="001F4EA0"/>
    <w:rsid w:val="002105E4"/>
    <w:rsid w:val="00211C99"/>
    <w:rsid w:val="00215B44"/>
    <w:rsid w:val="00235F87"/>
    <w:rsid w:val="00293DC9"/>
    <w:rsid w:val="002A0F51"/>
    <w:rsid w:val="002A63AC"/>
    <w:rsid w:val="002D7FD0"/>
    <w:rsid w:val="00320541"/>
    <w:rsid w:val="0032592F"/>
    <w:rsid w:val="00367747"/>
    <w:rsid w:val="00385206"/>
    <w:rsid w:val="00386CD2"/>
    <w:rsid w:val="003C5984"/>
    <w:rsid w:val="003D74B7"/>
    <w:rsid w:val="003F4D13"/>
    <w:rsid w:val="003F72FD"/>
    <w:rsid w:val="00407F41"/>
    <w:rsid w:val="004566E3"/>
    <w:rsid w:val="004A5C7F"/>
    <w:rsid w:val="004D65D6"/>
    <w:rsid w:val="004F7F01"/>
    <w:rsid w:val="00536E65"/>
    <w:rsid w:val="005379BA"/>
    <w:rsid w:val="00541F7C"/>
    <w:rsid w:val="005804CF"/>
    <w:rsid w:val="0059415D"/>
    <w:rsid w:val="005B7220"/>
    <w:rsid w:val="005D29A1"/>
    <w:rsid w:val="005D7739"/>
    <w:rsid w:val="00632DAB"/>
    <w:rsid w:val="00644CC9"/>
    <w:rsid w:val="006C506F"/>
    <w:rsid w:val="006D18BF"/>
    <w:rsid w:val="006D23AC"/>
    <w:rsid w:val="006D687B"/>
    <w:rsid w:val="006E4964"/>
    <w:rsid w:val="006F6565"/>
    <w:rsid w:val="00710D49"/>
    <w:rsid w:val="0071752A"/>
    <w:rsid w:val="00762460"/>
    <w:rsid w:val="007662FF"/>
    <w:rsid w:val="0078594E"/>
    <w:rsid w:val="007B4289"/>
    <w:rsid w:val="007E2D74"/>
    <w:rsid w:val="007E754C"/>
    <w:rsid w:val="007F272F"/>
    <w:rsid w:val="008042CB"/>
    <w:rsid w:val="00825574"/>
    <w:rsid w:val="00836A69"/>
    <w:rsid w:val="008568B2"/>
    <w:rsid w:val="00864D44"/>
    <w:rsid w:val="00890CC4"/>
    <w:rsid w:val="00891A1F"/>
    <w:rsid w:val="00893F49"/>
    <w:rsid w:val="008948CD"/>
    <w:rsid w:val="008A6974"/>
    <w:rsid w:val="008B2EBB"/>
    <w:rsid w:val="008C3887"/>
    <w:rsid w:val="008C5D61"/>
    <w:rsid w:val="008D3FB2"/>
    <w:rsid w:val="008F363B"/>
    <w:rsid w:val="008F62CC"/>
    <w:rsid w:val="009123A1"/>
    <w:rsid w:val="00924E83"/>
    <w:rsid w:val="0094449B"/>
    <w:rsid w:val="00965459"/>
    <w:rsid w:val="009723BA"/>
    <w:rsid w:val="009727B5"/>
    <w:rsid w:val="00994523"/>
    <w:rsid w:val="00A57D85"/>
    <w:rsid w:val="00A63250"/>
    <w:rsid w:val="00A71A97"/>
    <w:rsid w:val="00A81FCB"/>
    <w:rsid w:val="00A965B2"/>
    <w:rsid w:val="00AB610B"/>
    <w:rsid w:val="00AE626F"/>
    <w:rsid w:val="00AF6AED"/>
    <w:rsid w:val="00B3341A"/>
    <w:rsid w:val="00B44CFC"/>
    <w:rsid w:val="00B5461C"/>
    <w:rsid w:val="00B6051F"/>
    <w:rsid w:val="00B83CE2"/>
    <w:rsid w:val="00B87580"/>
    <w:rsid w:val="00B93C79"/>
    <w:rsid w:val="00BD2D8B"/>
    <w:rsid w:val="00BE3816"/>
    <w:rsid w:val="00BF0E1D"/>
    <w:rsid w:val="00C4476C"/>
    <w:rsid w:val="00C60D02"/>
    <w:rsid w:val="00C72722"/>
    <w:rsid w:val="00C72DF7"/>
    <w:rsid w:val="00D06A7A"/>
    <w:rsid w:val="00D11795"/>
    <w:rsid w:val="00D33CA8"/>
    <w:rsid w:val="00D7090A"/>
    <w:rsid w:val="00D93CA7"/>
    <w:rsid w:val="00DA6E6E"/>
    <w:rsid w:val="00DB4C28"/>
    <w:rsid w:val="00DE19A4"/>
    <w:rsid w:val="00E0076A"/>
    <w:rsid w:val="00E0374A"/>
    <w:rsid w:val="00E34F2D"/>
    <w:rsid w:val="00E34F68"/>
    <w:rsid w:val="00E6585B"/>
    <w:rsid w:val="00E75084"/>
    <w:rsid w:val="00EC2E01"/>
    <w:rsid w:val="00EC3818"/>
    <w:rsid w:val="00EE2D72"/>
    <w:rsid w:val="00EF408A"/>
    <w:rsid w:val="00F06DD9"/>
    <w:rsid w:val="00F22B7E"/>
    <w:rsid w:val="00F947B6"/>
    <w:rsid w:val="00FC39A7"/>
    <w:rsid w:val="00FE4725"/>
    <w:rsid w:val="00FE65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before="20"/>
        <w:ind w:left="329" w:hanging="3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1A"/>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2E0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E01"/>
    <w:rPr>
      <w:rFonts w:ascii="Tahoma" w:hAnsi="Tahoma" w:cs="Tahoma"/>
      <w:sz w:val="16"/>
      <w:szCs w:val="16"/>
    </w:rPr>
  </w:style>
  <w:style w:type="character" w:customStyle="1" w:styleId="completematch1">
    <w:name w:val="complete_match1"/>
    <w:basedOn w:val="Policepardfaut"/>
    <w:rsid w:val="00893F49"/>
    <w:rPr>
      <w:color w:val="000000"/>
      <w:shd w:val="clear" w:color="auto" w:fill="FFE26F"/>
    </w:rPr>
  </w:style>
  <w:style w:type="character" w:customStyle="1" w:styleId="artref">
    <w:name w:val="artref"/>
    <w:basedOn w:val="Policepardfaut"/>
    <w:rsid w:val="00893F49"/>
  </w:style>
  <w:style w:type="character" w:customStyle="1" w:styleId="exactmatch1">
    <w:name w:val="exact_match1"/>
    <w:basedOn w:val="Policepardfaut"/>
    <w:rsid w:val="00893F49"/>
    <w:rPr>
      <w:color w:val="000000"/>
      <w:shd w:val="clear" w:color="auto" w:fill="FFE26F"/>
    </w:rPr>
  </w:style>
  <w:style w:type="character" w:customStyle="1" w:styleId="exactmatch2">
    <w:name w:val="exact_match2"/>
    <w:basedOn w:val="Policepardfaut"/>
    <w:rsid w:val="00893F49"/>
    <w:rPr>
      <w:color w:val="000000"/>
      <w:shd w:val="clear" w:color="auto" w:fill="FFE26F"/>
    </w:rPr>
  </w:style>
  <w:style w:type="character" w:styleId="Lienhypertexte">
    <w:name w:val="Hyperlink"/>
    <w:basedOn w:val="Policepardfaut"/>
    <w:uiPriority w:val="99"/>
    <w:semiHidden/>
    <w:unhideWhenUsed/>
    <w:rsid w:val="00893F49"/>
    <w:rPr>
      <w:color w:val="000000"/>
      <w:u w:val="single"/>
    </w:rPr>
  </w:style>
  <w:style w:type="paragraph" w:styleId="Paragraphedeliste">
    <w:name w:val="List Paragraph"/>
    <w:basedOn w:val="Normal"/>
    <w:uiPriority w:val="34"/>
    <w:qFormat/>
    <w:rsid w:val="00087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before="20"/>
        <w:ind w:left="329" w:hanging="32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1A"/>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2E01"/>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E01"/>
    <w:rPr>
      <w:rFonts w:ascii="Tahoma" w:hAnsi="Tahoma" w:cs="Tahoma"/>
      <w:sz w:val="16"/>
      <w:szCs w:val="16"/>
    </w:rPr>
  </w:style>
  <w:style w:type="character" w:customStyle="1" w:styleId="completematch1">
    <w:name w:val="complete_match1"/>
    <w:basedOn w:val="Policepardfaut"/>
    <w:rsid w:val="00893F49"/>
    <w:rPr>
      <w:color w:val="000000"/>
      <w:shd w:val="clear" w:color="auto" w:fill="FFE26F"/>
    </w:rPr>
  </w:style>
  <w:style w:type="character" w:customStyle="1" w:styleId="artref">
    <w:name w:val="artref"/>
    <w:basedOn w:val="Policepardfaut"/>
    <w:rsid w:val="00893F49"/>
  </w:style>
  <w:style w:type="character" w:customStyle="1" w:styleId="exactmatch1">
    <w:name w:val="exact_match1"/>
    <w:basedOn w:val="Policepardfaut"/>
    <w:rsid w:val="00893F49"/>
    <w:rPr>
      <w:color w:val="000000"/>
      <w:shd w:val="clear" w:color="auto" w:fill="FFE26F"/>
    </w:rPr>
  </w:style>
  <w:style w:type="character" w:customStyle="1" w:styleId="exactmatch2">
    <w:name w:val="exact_match2"/>
    <w:basedOn w:val="Policepardfaut"/>
    <w:rsid w:val="00893F49"/>
    <w:rPr>
      <w:color w:val="000000"/>
      <w:shd w:val="clear" w:color="auto" w:fill="FFE26F"/>
    </w:rPr>
  </w:style>
  <w:style w:type="character" w:styleId="Lienhypertexte">
    <w:name w:val="Hyperlink"/>
    <w:basedOn w:val="Policepardfaut"/>
    <w:uiPriority w:val="99"/>
    <w:semiHidden/>
    <w:unhideWhenUsed/>
    <w:rsid w:val="00893F49"/>
    <w:rPr>
      <w:color w:val="000000"/>
      <w:u w:val="single"/>
    </w:rPr>
  </w:style>
  <w:style w:type="paragraph" w:styleId="Paragraphedeliste">
    <w:name w:val="List Paragraph"/>
    <w:basedOn w:val="Normal"/>
    <w:uiPriority w:val="34"/>
    <w:qFormat/>
    <w:rsid w:val="00087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68931">
      <w:bodyDiv w:val="1"/>
      <w:marLeft w:val="0"/>
      <w:marRight w:val="0"/>
      <w:marTop w:val="0"/>
      <w:marBottom w:val="0"/>
      <w:divBdr>
        <w:top w:val="none" w:sz="0" w:space="0" w:color="auto"/>
        <w:left w:val="none" w:sz="0" w:space="0" w:color="auto"/>
        <w:bottom w:val="none" w:sz="0" w:space="0" w:color="auto"/>
        <w:right w:val="none" w:sz="0" w:space="0" w:color="auto"/>
      </w:divBdr>
      <w:divsChild>
        <w:div w:id="1071003601">
          <w:marLeft w:val="0"/>
          <w:marRight w:val="0"/>
          <w:marTop w:val="0"/>
          <w:marBottom w:val="0"/>
          <w:divBdr>
            <w:top w:val="none" w:sz="0" w:space="0" w:color="auto"/>
            <w:left w:val="none" w:sz="0" w:space="0" w:color="auto"/>
            <w:bottom w:val="none" w:sz="0" w:space="0" w:color="auto"/>
            <w:right w:val="none" w:sz="0" w:space="0" w:color="auto"/>
          </w:divBdr>
          <w:divsChild>
            <w:div w:id="46271841">
              <w:marLeft w:val="150"/>
              <w:marRight w:val="0"/>
              <w:marTop w:val="0"/>
              <w:marBottom w:val="0"/>
              <w:divBdr>
                <w:top w:val="none" w:sz="0" w:space="0" w:color="auto"/>
                <w:left w:val="none" w:sz="0" w:space="0" w:color="auto"/>
                <w:bottom w:val="none" w:sz="0" w:space="0" w:color="auto"/>
                <w:right w:val="none" w:sz="0" w:space="0" w:color="auto"/>
              </w:divBdr>
              <w:divsChild>
                <w:div w:id="183057562">
                  <w:marLeft w:val="0"/>
                  <w:marRight w:val="0"/>
                  <w:marTop w:val="150"/>
                  <w:marBottom w:val="0"/>
                  <w:divBdr>
                    <w:top w:val="none" w:sz="0" w:space="0" w:color="auto"/>
                    <w:left w:val="none" w:sz="0" w:space="0" w:color="auto"/>
                    <w:bottom w:val="none" w:sz="0" w:space="0" w:color="auto"/>
                    <w:right w:val="none" w:sz="0" w:space="0" w:color="auto"/>
                  </w:divBdr>
                  <w:divsChild>
                    <w:div w:id="1096822814">
                      <w:marLeft w:val="0"/>
                      <w:marRight w:val="0"/>
                      <w:marTop w:val="0"/>
                      <w:marBottom w:val="0"/>
                      <w:divBdr>
                        <w:top w:val="none" w:sz="0" w:space="0" w:color="auto"/>
                        <w:left w:val="single" w:sz="6" w:space="0" w:color="999999"/>
                        <w:bottom w:val="none" w:sz="0" w:space="0" w:color="auto"/>
                        <w:right w:val="single" w:sz="6" w:space="0" w:color="999999"/>
                      </w:divBdr>
                      <w:divsChild>
                        <w:div w:id="1161699148">
                          <w:marLeft w:val="0"/>
                          <w:marRight w:val="0"/>
                          <w:marTop w:val="0"/>
                          <w:marBottom w:val="0"/>
                          <w:divBdr>
                            <w:top w:val="none" w:sz="0" w:space="0" w:color="auto"/>
                            <w:left w:val="none" w:sz="0" w:space="0" w:color="auto"/>
                            <w:bottom w:val="none" w:sz="0" w:space="0" w:color="auto"/>
                            <w:right w:val="none" w:sz="0" w:space="0" w:color="auto"/>
                          </w:divBdr>
                        </w:div>
                        <w:div w:id="832916353">
                          <w:marLeft w:val="0"/>
                          <w:marRight w:val="0"/>
                          <w:marTop w:val="0"/>
                          <w:marBottom w:val="0"/>
                          <w:divBdr>
                            <w:top w:val="none" w:sz="0" w:space="0" w:color="auto"/>
                            <w:left w:val="none" w:sz="0" w:space="0" w:color="auto"/>
                            <w:bottom w:val="none" w:sz="0" w:space="0" w:color="auto"/>
                            <w:right w:val="none" w:sz="0" w:space="0" w:color="auto"/>
                          </w:divBdr>
                        </w:div>
                        <w:div w:id="9164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FD7BB-F420-4DAD-8C53-2467FC2D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2277</Words>
  <Characters>12524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Guignard</dc:creator>
  <cp:lastModifiedBy>Daniel Guignard</cp:lastModifiedBy>
  <cp:revision>48</cp:revision>
  <cp:lastPrinted>2015-02-15T09:09:00Z</cp:lastPrinted>
  <dcterms:created xsi:type="dcterms:W3CDTF">2015-02-14T06:56:00Z</dcterms:created>
  <dcterms:modified xsi:type="dcterms:W3CDTF">2015-02-15T09:17:00Z</dcterms:modified>
</cp:coreProperties>
</file>