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01" w:rsidRPr="00940A2E" w:rsidRDefault="003D1521" w:rsidP="00940A2E">
      <w:pPr>
        <w:ind w:left="0" w:firstLine="0"/>
        <w:rPr>
          <w:b/>
          <w:sz w:val="28"/>
          <w:szCs w:val="28"/>
        </w:rPr>
      </w:pPr>
      <w:r w:rsidRPr="00940A2E">
        <w:rPr>
          <w:b/>
          <w:sz w:val="28"/>
          <w:szCs w:val="28"/>
        </w:rPr>
        <w:t xml:space="preserve">La responsabilité du vendeur et de l’entrepreneur pour les défauts frauduleusement </w:t>
      </w:r>
      <w:r w:rsidR="00FA64D6" w:rsidRPr="00940A2E">
        <w:rPr>
          <w:b/>
          <w:sz w:val="28"/>
          <w:szCs w:val="28"/>
        </w:rPr>
        <w:t>dissimulés</w:t>
      </w:r>
    </w:p>
    <w:p w:rsidR="00940A2E" w:rsidRDefault="00940A2E" w:rsidP="00EF408A">
      <w:pPr>
        <w:pBdr>
          <w:bottom w:val="single" w:sz="12" w:space="1" w:color="auto"/>
        </w:pBdr>
        <w:ind w:left="0" w:firstLine="0"/>
        <w:rPr>
          <w:b/>
        </w:rPr>
      </w:pPr>
    </w:p>
    <w:p w:rsidR="00EC2E01" w:rsidRDefault="00EC2E01" w:rsidP="00EF408A">
      <w:pPr>
        <w:pBdr>
          <w:bottom w:val="single" w:sz="12" w:space="1" w:color="auto"/>
        </w:pBdr>
        <w:ind w:left="0" w:firstLine="0"/>
        <w:rPr>
          <w:i/>
        </w:rPr>
      </w:pPr>
      <w:r>
        <w:rPr>
          <w:b/>
        </w:rPr>
        <w:t xml:space="preserve">Me Daniel Guignard, </w:t>
      </w:r>
      <w:r w:rsidR="009600A2" w:rsidRPr="00940A2E">
        <w:rPr>
          <w:i/>
        </w:rPr>
        <w:t xml:space="preserve">Docteur en droit, LL.M., </w:t>
      </w:r>
      <w:r w:rsidRPr="00940A2E">
        <w:rPr>
          <w:i/>
        </w:rPr>
        <w:t>avocat spécialiste FSA en droit de la construction et de l’immobilier</w:t>
      </w:r>
    </w:p>
    <w:p w:rsidR="00940A2E" w:rsidRPr="00940A2E" w:rsidRDefault="00940A2E" w:rsidP="00EF408A">
      <w:pPr>
        <w:pBdr>
          <w:bottom w:val="single" w:sz="12" w:space="1" w:color="auto"/>
        </w:pBdr>
        <w:ind w:left="0" w:firstLine="0"/>
        <w:rPr>
          <w:i/>
          <w:sz w:val="16"/>
          <w:szCs w:val="16"/>
        </w:rPr>
      </w:pPr>
    </w:p>
    <w:p w:rsidR="00EC2E01" w:rsidRDefault="00EC2E01" w:rsidP="00216898">
      <w:pPr>
        <w:spacing w:before="0"/>
        <w:ind w:left="0" w:firstLine="0"/>
      </w:pPr>
    </w:p>
    <w:p w:rsidR="009600A2" w:rsidRDefault="009600A2" w:rsidP="00216898">
      <w:pPr>
        <w:spacing w:before="0"/>
        <w:ind w:left="0" w:firstLine="0"/>
      </w:pPr>
    </w:p>
    <w:p w:rsidR="007F483B" w:rsidRPr="007F483B" w:rsidRDefault="00940A2E" w:rsidP="009600A2">
      <w:pPr>
        <w:tabs>
          <w:tab w:val="left" w:pos="426"/>
        </w:tabs>
        <w:spacing w:before="0"/>
        <w:ind w:left="0" w:firstLine="0"/>
        <w:rPr>
          <w:b/>
        </w:rPr>
      </w:pPr>
      <w:r>
        <w:rPr>
          <w:b/>
        </w:rPr>
        <w:t>I.</w:t>
      </w:r>
      <w:r w:rsidR="009600A2">
        <w:rPr>
          <w:b/>
        </w:rPr>
        <w:tab/>
      </w:r>
      <w:r w:rsidR="007F483B" w:rsidRPr="007F483B">
        <w:rPr>
          <w:b/>
        </w:rPr>
        <w:t>Introduction</w:t>
      </w:r>
    </w:p>
    <w:p w:rsidR="007F483B" w:rsidRDefault="007F483B" w:rsidP="00216898">
      <w:pPr>
        <w:spacing w:before="0"/>
        <w:ind w:left="0" w:firstLine="0"/>
      </w:pPr>
    </w:p>
    <w:p w:rsidR="003459FA" w:rsidRPr="00C77A91" w:rsidRDefault="00856E84" w:rsidP="00216898">
      <w:pPr>
        <w:spacing w:before="0"/>
        <w:ind w:left="0" w:firstLine="0"/>
      </w:pPr>
      <w:r>
        <w:t xml:space="preserve">Le vendeur d’une chose mobilière ou immobilière, de </w:t>
      </w:r>
      <w:r w:rsidR="00F869F6">
        <w:t xml:space="preserve">même que </w:t>
      </w:r>
      <w:r>
        <w:t>l’entrepreneur partie à un contrat d’e</w:t>
      </w:r>
      <w:r w:rsidR="00F869F6">
        <w:t>ntreprise, répondent</w:t>
      </w:r>
      <w:r>
        <w:t xml:space="preserve"> des défauts qui affe</w:t>
      </w:r>
      <w:r w:rsidR="00F869F6">
        <w:t>ctent la chose vendue</w:t>
      </w:r>
      <w:r>
        <w:t>, respectivement l’ouvrage livré.</w:t>
      </w:r>
      <w:r w:rsidR="00365254">
        <w:t xml:space="preserve"> </w:t>
      </w:r>
      <w:r w:rsidR="00492419">
        <w:t>Le</w:t>
      </w:r>
      <w:r w:rsidR="00F869F6" w:rsidRPr="00365254">
        <w:t xml:space="preserve"> vendeur </w:t>
      </w:r>
      <w:r w:rsidR="00492419">
        <w:t xml:space="preserve">doit en principe garantir les </w:t>
      </w:r>
      <w:r w:rsidR="00F869F6" w:rsidRPr="00365254">
        <w:t xml:space="preserve">qualités promises </w:t>
      </w:r>
      <w:r w:rsidR="00492419">
        <w:t>et les défauts qui</w:t>
      </w:r>
      <w:r w:rsidR="00F869F6" w:rsidRPr="00365254">
        <w:t xml:space="preserve"> enlèvent à la chose soit sa valeur, soit son utilité prévue, ou qui les diminuent dans une notable mesure</w:t>
      </w:r>
      <w:r w:rsidR="00EF0D74">
        <w:t xml:space="preserve"> (</w:t>
      </w:r>
      <w:r w:rsidR="00492419">
        <w:t>art. 197 CO</w:t>
      </w:r>
      <w:r w:rsidR="00EF0D74">
        <w:t>)</w:t>
      </w:r>
      <w:r w:rsidR="00F869F6" w:rsidRPr="00365254">
        <w:t>. L</w:t>
      </w:r>
      <w:r w:rsidR="00492419">
        <w:t>’</w:t>
      </w:r>
      <w:r w:rsidR="00F869F6" w:rsidRPr="00365254">
        <w:t>article 368 CO consac</w:t>
      </w:r>
      <w:r w:rsidR="00F869F6">
        <w:t xml:space="preserve">re une obligation de garantie </w:t>
      </w:r>
      <w:r w:rsidR="00216898">
        <w:t xml:space="preserve">similaire </w:t>
      </w:r>
      <w:r w:rsidR="00F869F6">
        <w:t>à charge de l’entrepreneur</w:t>
      </w:r>
      <w:r w:rsidR="00216898">
        <w:t>,</w:t>
      </w:r>
      <w:r w:rsidR="00F869F6">
        <w:t xml:space="preserve"> lorsque l’ouvrage est défectueux ou non conforme au contrat d’entreprise</w:t>
      </w:r>
      <w:r w:rsidR="00EF0D74">
        <w:t>.</w:t>
      </w:r>
      <w:r w:rsidR="001E6599">
        <w:t xml:space="preserve"> </w:t>
      </w:r>
      <w:r w:rsidR="00492419">
        <w:t>Ces</w:t>
      </w:r>
      <w:r w:rsidR="00365254">
        <w:t xml:space="preserve"> obligation</w:t>
      </w:r>
      <w:r w:rsidR="00492419">
        <w:t>s</w:t>
      </w:r>
      <w:r w:rsidR="00365254">
        <w:t xml:space="preserve"> de garantie </w:t>
      </w:r>
      <w:r w:rsidR="00F129DC" w:rsidRPr="00C77A91">
        <w:t>concerne</w:t>
      </w:r>
      <w:r w:rsidR="00492419" w:rsidRPr="00C77A91">
        <w:t>nt</w:t>
      </w:r>
      <w:r w:rsidR="00F129DC" w:rsidRPr="00C77A91">
        <w:t xml:space="preserve"> aussi bien les </w:t>
      </w:r>
      <w:r w:rsidR="00365254" w:rsidRPr="00C77A91">
        <w:t>défauts apparents</w:t>
      </w:r>
      <w:r w:rsidR="00F129DC" w:rsidRPr="00C77A91">
        <w:t xml:space="preserve"> que les</w:t>
      </w:r>
      <w:r w:rsidR="00365254" w:rsidRPr="00C77A91">
        <w:t xml:space="preserve"> défauts cachés</w:t>
      </w:r>
      <w:r w:rsidR="00F129DC" w:rsidRPr="00C77A91">
        <w:t xml:space="preserve">. </w:t>
      </w:r>
    </w:p>
    <w:p w:rsidR="003459FA" w:rsidRPr="00C77A91" w:rsidRDefault="003459FA" w:rsidP="00216898">
      <w:pPr>
        <w:spacing w:before="0"/>
        <w:ind w:left="0" w:firstLine="0"/>
      </w:pPr>
    </w:p>
    <w:p w:rsidR="007E7DA0" w:rsidRDefault="003459FA" w:rsidP="00216898">
      <w:pPr>
        <w:spacing w:before="0"/>
        <w:ind w:left="0" w:firstLine="0"/>
      </w:pPr>
      <w:r>
        <w:t>Les parties à un contrat de vente ou d’entreprise peuvent néanmoins limiter</w:t>
      </w:r>
      <w:r w:rsidR="00663D25">
        <w:t xml:space="preserve"> valablement</w:t>
      </w:r>
      <w:r>
        <w:t xml:space="preserve">, voire exclure, </w:t>
      </w:r>
      <w:r w:rsidR="00492419">
        <w:t>la</w:t>
      </w:r>
      <w:r>
        <w:t xml:space="preserve"> garantie du vendeur ou de l’entrepren</w:t>
      </w:r>
      <w:r w:rsidR="00663D25">
        <w:t>eur pour les défauts</w:t>
      </w:r>
      <w:r w:rsidR="001E6599">
        <w:t xml:space="preserve">, privant ainsi l’acheteur et le maître de </w:t>
      </w:r>
      <w:r w:rsidR="00216898">
        <w:t xml:space="preserve">la faculté de </w:t>
      </w:r>
      <w:r w:rsidR="001E6599">
        <w:t xml:space="preserve">rechercher le </w:t>
      </w:r>
      <w:r w:rsidR="00216898">
        <w:t>vendeur</w:t>
      </w:r>
      <w:r w:rsidR="00B16665">
        <w:t>, respectivement l’entrepreneur</w:t>
      </w:r>
      <w:r w:rsidR="00216898">
        <w:t xml:space="preserve"> s’il</w:t>
      </w:r>
      <w:r w:rsidR="00B16665">
        <w:t>s</w:t>
      </w:r>
      <w:r w:rsidR="00216898">
        <w:t xml:space="preserve"> découvre</w:t>
      </w:r>
      <w:r w:rsidR="00B16665">
        <w:t>nt</w:t>
      </w:r>
      <w:r w:rsidR="00216898">
        <w:t xml:space="preserve"> plus tard que l’objet </w:t>
      </w:r>
      <w:r w:rsidR="00B16665">
        <w:t>a</w:t>
      </w:r>
      <w:r w:rsidR="00216898">
        <w:t xml:space="preserve">cquis </w:t>
      </w:r>
      <w:r w:rsidR="00B16665">
        <w:t xml:space="preserve">ou livré est </w:t>
      </w:r>
      <w:r w:rsidR="00216898">
        <w:t>affecté d’un déf</w:t>
      </w:r>
      <w:r w:rsidR="009310DF">
        <w:t>aut</w:t>
      </w:r>
      <w:r w:rsidR="00B16665">
        <w:t>.</w:t>
      </w:r>
      <w:r w:rsidR="001E6599">
        <w:t xml:space="preserve"> </w:t>
      </w:r>
      <w:r w:rsidR="00B16665">
        <w:t>L</w:t>
      </w:r>
      <w:r w:rsidR="007E7DA0">
        <w:t>’</w:t>
      </w:r>
      <w:r w:rsidR="00FA64D6">
        <w:t xml:space="preserve">acheteur </w:t>
      </w:r>
      <w:r w:rsidR="00B16665">
        <w:t xml:space="preserve">et </w:t>
      </w:r>
      <w:r w:rsidR="00FA64D6">
        <w:t>le maître pourr</w:t>
      </w:r>
      <w:r w:rsidR="00B16665">
        <w:t>ont alors</w:t>
      </w:r>
      <w:r w:rsidR="00FA64D6">
        <w:t xml:space="preserve"> être tenté</w:t>
      </w:r>
      <w:r w:rsidR="00B16665">
        <w:t>s</w:t>
      </w:r>
      <w:r w:rsidR="00FA64D6">
        <w:t xml:space="preserve"> de trouver </w:t>
      </w:r>
      <w:r w:rsidR="00B16665">
        <w:t>leur</w:t>
      </w:r>
      <w:r w:rsidR="00181BEA">
        <w:t xml:space="preserve"> salut en soutenant </w:t>
      </w:r>
      <w:r w:rsidR="00B16665">
        <w:t>avoir</w:t>
      </w:r>
      <w:r w:rsidR="0082058B">
        <w:t xml:space="preserve"> af</w:t>
      </w:r>
      <w:r w:rsidR="00181BEA">
        <w:t>faire</w:t>
      </w:r>
      <w:r w:rsidR="00FA64D6">
        <w:t xml:space="preserve">, non pas à un défaut caché (tombant sous la clause exclusive de responsabilité), mais à </w:t>
      </w:r>
      <w:r w:rsidR="00FA64D6" w:rsidRPr="001E6599">
        <w:t>un défaut frauduleusement dissimulé</w:t>
      </w:r>
      <w:r w:rsidR="00397154">
        <w:t>.</w:t>
      </w:r>
    </w:p>
    <w:p w:rsidR="003F31E4" w:rsidRDefault="003F31E4" w:rsidP="003F31E4">
      <w:pPr>
        <w:spacing w:before="0"/>
        <w:ind w:left="0" w:firstLine="0"/>
      </w:pPr>
    </w:p>
    <w:p w:rsidR="003F31E4" w:rsidRDefault="003F31E4" w:rsidP="003F31E4">
      <w:pPr>
        <w:spacing w:before="0"/>
        <w:ind w:left="0" w:firstLine="0"/>
      </w:pPr>
      <w:r>
        <w:t xml:space="preserve">Par ailleurs, l’acheteur ou le maître qui aurait négligemment manqué à son devoir de vérification et/ou </w:t>
      </w:r>
      <w:r w:rsidR="0082058B">
        <w:t xml:space="preserve">à </w:t>
      </w:r>
      <w:r>
        <w:t>son devoir d’avis des défauts pourrait ne pas avoir perdu ses droits de garantie s’il parvient à établir que le défaut en question a été frauduleusement dissimulé.</w:t>
      </w:r>
    </w:p>
    <w:p w:rsidR="00FA64D6" w:rsidRDefault="00FA64D6" w:rsidP="00216898">
      <w:pPr>
        <w:spacing w:before="0"/>
        <w:ind w:left="0" w:firstLine="0"/>
      </w:pPr>
    </w:p>
    <w:p w:rsidR="00FA64D6" w:rsidRDefault="003F31E4" w:rsidP="00216898">
      <w:pPr>
        <w:spacing w:before="0"/>
        <w:ind w:left="0" w:firstLine="0"/>
      </w:pPr>
      <w:r>
        <w:t>Enfin, a</w:t>
      </w:r>
      <w:r w:rsidR="00397154">
        <w:t xml:space="preserve">cheteur et maître pourront également avoir intérêt à prétendre à l’existence d’un défaut </w:t>
      </w:r>
      <w:r w:rsidR="00181BEA">
        <w:t xml:space="preserve">frauduleusement dissimulé </w:t>
      </w:r>
      <w:r w:rsidR="00397154">
        <w:t xml:space="preserve">lorsque leur action en garantie </w:t>
      </w:r>
      <w:r w:rsidR="00181BEA">
        <w:t>serait autrement prescrite</w:t>
      </w:r>
      <w:r w:rsidR="001E6599">
        <w:t xml:space="preserve"> par l’écoulement du temps</w:t>
      </w:r>
      <w:r w:rsidR="00397154">
        <w:t>.</w:t>
      </w:r>
    </w:p>
    <w:p w:rsidR="00663D25" w:rsidRDefault="00663D25" w:rsidP="0018716E">
      <w:pPr>
        <w:spacing w:before="0"/>
        <w:ind w:left="0" w:firstLine="0"/>
      </w:pPr>
    </w:p>
    <w:p w:rsidR="00C77A91" w:rsidRDefault="00663D25" w:rsidP="0018716E">
      <w:pPr>
        <w:spacing w:before="0"/>
        <w:ind w:left="0" w:firstLine="0"/>
      </w:pPr>
      <w:r>
        <w:t>Ces exemples illustrent l</w:t>
      </w:r>
      <w:r w:rsidR="00E27034">
        <w:t xml:space="preserve">es </w:t>
      </w:r>
      <w:r>
        <w:t>intérêt</w:t>
      </w:r>
      <w:r w:rsidR="00B16665">
        <w:t>s</w:t>
      </w:r>
      <w:r>
        <w:t xml:space="preserve"> </w:t>
      </w:r>
      <w:r w:rsidR="00B16665">
        <w:t xml:space="preserve">que peuvent </w:t>
      </w:r>
      <w:r w:rsidR="00E27034">
        <w:t xml:space="preserve">avoir </w:t>
      </w:r>
      <w:r w:rsidR="00B16665">
        <w:t xml:space="preserve">acheteur </w:t>
      </w:r>
      <w:r w:rsidR="00E27034">
        <w:t xml:space="preserve">et </w:t>
      </w:r>
      <w:r w:rsidR="00B16665">
        <w:t>maître d’ouvrage</w:t>
      </w:r>
      <w:r w:rsidRPr="00663D25">
        <w:t xml:space="preserve"> </w:t>
      </w:r>
      <w:r w:rsidR="00E27034">
        <w:t>à se placer sur le terrain du défaut frauduleusement dissimulé</w:t>
      </w:r>
      <w:r w:rsidR="00E27034" w:rsidRPr="00663D25">
        <w:t xml:space="preserve"> </w:t>
      </w:r>
      <w:r w:rsidR="00E27034">
        <w:t xml:space="preserve">pour fonder une responsabilité </w:t>
      </w:r>
      <w:r w:rsidRPr="00663D25">
        <w:t>du v</w:t>
      </w:r>
      <w:r w:rsidR="00E27034">
        <w:t>endeur et de l’entrepreneur qui serait autrement exclue par une clause exclusive de responsabilité, éteinte par la prescription ou périmée par la tardiveté de l’avis des défauts</w:t>
      </w:r>
      <w:r>
        <w:t>.</w:t>
      </w:r>
    </w:p>
    <w:p w:rsidR="00DA22FB" w:rsidRDefault="00DA22FB" w:rsidP="0018716E">
      <w:pPr>
        <w:spacing w:before="0"/>
        <w:ind w:left="0" w:firstLine="0"/>
      </w:pPr>
    </w:p>
    <w:p w:rsidR="006C7CD6" w:rsidRPr="00A13224" w:rsidRDefault="00940A2E" w:rsidP="009600A2">
      <w:pPr>
        <w:tabs>
          <w:tab w:val="left" w:pos="426"/>
        </w:tabs>
        <w:spacing w:before="0"/>
        <w:ind w:left="426" w:hanging="426"/>
        <w:rPr>
          <w:b/>
        </w:rPr>
      </w:pPr>
      <w:r>
        <w:rPr>
          <w:b/>
        </w:rPr>
        <w:t>II.</w:t>
      </w:r>
      <w:r w:rsidR="009600A2">
        <w:rPr>
          <w:b/>
        </w:rPr>
        <w:tab/>
      </w:r>
      <w:r w:rsidR="006C7CD6" w:rsidRPr="006C7CD6">
        <w:rPr>
          <w:b/>
        </w:rPr>
        <w:t xml:space="preserve">Le </w:t>
      </w:r>
      <w:r w:rsidR="007F483B" w:rsidRPr="006C7CD6">
        <w:rPr>
          <w:b/>
        </w:rPr>
        <w:t>défaut</w:t>
      </w:r>
      <w:r w:rsidR="006C7CD6" w:rsidRPr="006C7CD6">
        <w:rPr>
          <w:b/>
        </w:rPr>
        <w:t xml:space="preserve"> frauduleusement dissimulé</w:t>
      </w:r>
    </w:p>
    <w:p w:rsidR="00A13224" w:rsidRPr="0018716E" w:rsidRDefault="00A13224" w:rsidP="00076919">
      <w:pPr>
        <w:spacing w:before="0" w:line="225" w:lineRule="atLeast"/>
        <w:ind w:left="0" w:firstLine="0"/>
        <w:rPr>
          <w:rFonts w:eastAsia="Times New Roman" w:cs="Arial"/>
          <w:lang w:val="fr-FR" w:eastAsia="fr-FR"/>
        </w:rPr>
      </w:pPr>
    </w:p>
    <w:p w:rsidR="00457515" w:rsidRPr="0018716E" w:rsidRDefault="00076919" w:rsidP="009600A2">
      <w:pPr>
        <w:spacing w:before="0" w:line="225" w:lineRule="atLeast"/>
        <w:ind w:left="426" w:hanging="426"/>
        <w:rPr>
          <w:rFonts w:eastAsia="Times New Roman" w:cs="Arial"/>
          <w:b/>
          <w:lang w:val="fr-FR" w:eastAsia="fr-FR"/>
        </w:rPr>
      </w:pPr>
      <w:r>
        <w:rPr>
          <w:rFonts w:eastAsia="Times New Roman" w:cs="Arial"/>
          <w:b/>
          <w:lang w:val="fr-FR" w:eastAsia="fr-FR"/>
        </w:rPr>
        <w:t>1.</w:t>
      </w:r>
      <w:r w:rsidR="009600A2">
        <w:rPr>
          <w:rFonts w:eastAsia="Times New Roman" w:cs="Arial"/>
          <w:b/>
          <w:lang w:val="fr-FR" w:eastAsia="fr-FR"/>
        </w:rPr>
        <w:tab/>
      </w:r>
      <w:r>
        <w:rPr>
          <w:rFonts w:eastAsia="Times New Roman" w:cs="Arial"/>
          <w:b/>
          <w:lang w:val="fr-FR" w:eastAsia="fr-FR"/>
        </w:rPr>
        <w:t>Les conditions</w:t>
      </w:r>
    </w:p>
    <w:p w:rsidR="00457515" w:rsidRPr="0018716E" w:rsidRDefault="00457515" w:rsidP="009D5DD0">
      <w:pPr>
        <w:spacing w:before="0" w:line="225" w:lineRule="atLeast"/>
        <w:ind w:left="0" w:firstLine="0"/>
        <w:rPr>
          <w:rFonts w:eastAsia="Times New Roman" w:cs="Arial"/>
          <w:lang w:val="fr-FR" w:eastAsia="fr-FR"/>
        </w:rPr>
      </w:pPr>
    </w:p>
    <w:p w:rsidR="00991E80" w:rsidRDefault="00991E80" w:rsidP="009D5DD0">
      <w:pPr>
        <w:spacing w:before="0" w:line="225" w:lineRule="atLeast"/>
        <w:ind w:left="0" w:firstLine="0"/>
        <w:rPr>
          <w:rFonts w:eastAsia="Times New Roman" w:cs="Arial"/>
          <w:lang w:val="fr-FR" w:eastAsia="fr-FR"/>
        </w:rPr>
      </w:pPr>
      <w:r>
        <w:rPr>
          <w:rFonts w:eastAsia="Times New Roman" w:cs="Arial"/>
          <w:lang w:val="fr-FR" w:eastAsia="fr-FR"/>
        </w:rPr>
        <w:t>Le défaut frauduleusement dissimulé est un défaut caché qualifié</w:t>
      </w:r>
      <w:r w:rsidRPr="000A7BC9">
        <w:rPr>
          <w:rStyle w:val="Appelnotedebasdep"/>
          <w:rFonts w:eastAsia="Times New Roman" w:cs="Arial"/>
          <w:sz w:val="18"/>
          <w:szCs w:val="18"/>
          <w:lang w:val="fr-FR" w:eastAsia="fr-FR"/>
        </w:rPr>
        <w:footnoteReference w:id="1"/>
      </w:r>
      <w:r w:rsidR="008827BF">
        <w:rPr>
          <w:rFonts w:eastAsia="Times New Roman" w:cs="Arial"/>
          <w:lang w:val="fr-FR" w:eastAsia="fr-FR"/>
        </w:rPr>
        <w:t>. I</w:t>
      </w:r>
      <w:r>
        <w:rPr>
          <w:rFonts w:eastAsia="Times New Roman" w:cs="Arial"/>
          <w:lang w:val="fr-FR" w:eastAsia="fr-FR"/>
        </w:rPr>
        <w:t>mpliqu</w:t>
      </w:r>
      <w:r w:rsidR="008827BF">
        <w:rPr>
          <w:rFonts w:eastAsia="Times New Roman" w:cs="Arial"/>
          <w:lang w:val="fr-FR" w:eastAsia="fr-FR"/>
        </w:rPr>
        <w:t xml:space="preserve">ant </w:t>
      </w:r>
      <w:r>
        <w:rPr>
          <w:rFonts w:eastAsia="Times New Roman" w:cs="Arial"/>
          <w:lang w:val="fr-FR" w:eastAsia="fr-FR"/>
        </w:rPr>
        <w:t xml:space="preserve">un comportement de </w:t>
      </w:r>
      <w:r w:rsidRPr="00F22613">
        <w:rPr>
          <w:rFonts w:eastAsia="Times New Roman" w:cs="Arial"/>
          <w:i/>
          <w:lang w:val="fr-FR" w:eastAsia="fr-FR"/>
        </w:rPr>
        <w:t>dol</w:t>
      </w:r>
      <w:r>
        <w:rPr>
          <w:rFonts w:eastAsia="Times New Roman" w:cs="Arial"/>
          <w:lang w:val="fr-FR" w:eastAsia="fr-FR"/>
        </w:rPr>
        <w:t>, c’est-à-dire une</w:t>
      </w:r>
      <w:r w:rsidR="00457515" w:rsidRPr="0018716E">
        <w:rPr>
          <w:rFonts w:eastAsia="Times New Roman" w:cs="Arial"/>
          <w:lang w:val="fr-FR" w:eastAsia="fr-FR"/>
        </w:rPr>
        <w:t xml:space="preserve"> tromperie intentionnelle</w:t>
      </w:r>
      <w:r>
        <w:rPr>
          <w:rFonts w:eastAsia="Times New Roman" w:cs="Arial"/>
          <w:lang w:val="fr-FR" w:eastAsia="fr-FR"/>
        </w:rPr>
        <w:t xml:space="preserve"> de la part du vendeur ou de l’entrepreneur</w:t>
      </w:r>
      <w:r w:rsidR="00457515" w:rsidRPr="00EE3B6F">
        <w:rPr>
          <w:rStyle w:val="Appelnotedebasdep"/>
          <w:rFonts w:eastAsia="Times New Roman" w:cs="Arial"/>
          <w:sz w:val="18"/>
          <w:szCs w:val="18"/>
          <w:lang w:val="fr-FR" w:eastAsia="fr-FR"/>
        </w:rPr>
        <w:footnoteReference w:id="2"/>
      </w:r>
      <w:r w:rsidR="008827BF">
        <w:rPr>
          <w:rFonts w:eastAsia="Times New Roman" w:cs="Arial"/>
          <w:lang w:val="fr-FR" w:eastAsia="fr-FR"/>
        </w:rPr>
        <w:t>, i</w:t>
      </w:r>
      <w:r w:rsidR="000A7BC9">
        <w:rPr>
          <w:rFonts w:eastAsia="Times New Roman" w:cs="Arial"/>
          <w:lang w:val="fr-FR" w:eastAsia="fr-FR"/>
        </w:rPr>
        <w:t>l</w:t>
      </w:r>
      <w:r>
        <w:rPr>
          <w:rFonts w:eastAsia="Times New Roman" w:cs="Arial"/>
          <w:lang w:val="fr-FR" w:eastAsia="fr-FR"/>
        </w:rPr>
        <w:t xml:space="preserve"> </w:t>
      </w:r>
      <w:r w:rsidR="0003340B" w:rsidRPr="0018716E">
        <w:rPr>
          <w:rFonts w:eastAsia="Times New Roman" w:cs="Arial"/>
          <w:lang w:val="fr-FR" w:eastAsia="fr-FR"/>
        </w:rPr>
        <w:t xml:space="preserve">suppose </w:t>
      </w:r>
      <w:r>
        <w:rPr>
          <w:rFonts w:eastAsia="Times New Roman" w:cs="Arial"/>
          <w:lang w:val="fr-FR" w:eastAsia="fr-FR"/>
        </w:rPr>
        <w:t xml:space="preserve">la réalisation de </w:t>
      </w:r>
      <w:r w:rsidR="00076919">
        <w:rPr>
          <w:rFonts w:eastAsia="Times New Roman" w:cs="Arial"/>
          <w:lang w:val="fr-FR" w:eastAsia="fr-FR"/>
        </w:rPr>
        <w:t>quatre</w:t>
      </w:r>
      <w:r>
        <w:rPr>
          <w:rFonts w:eastAsia="Times New Roman" w:cs="Arial"/>
          <w:lang w:val="fr-FR" w:eastAsia="fr-FR"/>
        </w:rPr>
        <w:t xml:space="preserve"> conditions :</w:t>
      </w:r>
    </w:p>
    <w:p w:rsidR="00991E80" w:rsidRDefault="00991E80" w:rsidP="009D5DD0">
      <w:pPr>
        <w:spacing w:before="0" w:line="225" w:lineRule="atLeast"/>
        <w:ind w:left="0" w:firstLine="0"/>
        <w:rPr>
          <w:rFonts w:eastAsia="Times New Roman" w:cs="Arial"/>
          <w:lang w:val="fr-FR" w:eastAsia="fr-FR"/>
        </w:rPr>
      </w:pPr>
    </w:p>
    <w:p w:rsidR="00F22613" w:rsidRPr="00F22613" w:rsidRDefault="000A7BC9" w:rsidP="001F3345">
      <w:pPr>
        <w:pStyle w:val="Paragraphedeliste"/>
        <w:numPr>
          <w:ilvl w:val="0"/>
          <w:numId w:val="3"/>
        </w:numPr>
        <w:spacing w:before="0" w:afterLines="50" w:after="120"/>
        <w:ind w:left="714" w:hanging="357"/>
        <w:contextualSpacing w:val="0"/>
        <w:rPr>
          <w:rFonts w:eastAsia="Times New Roman" w:cs="Arial"/>
          <w:lang w:val="fr-FR" w:eastAsia="fr-FR"/>
        </w:rPr>
      </w:pPr>
      <w:r>
        <w:rPr>
          <w:rFonts w:eastAsia="Times New Roman" w:cs="Arial"/>
          <w:lang w:val="fr-FR" w:eastAsia="fr-FR"/>
        </w:rPr>
        <w:t>la chose vendue ou l’ouvrage livré est affecté d’un défaut</w:t>
      </w:r>
      <w:r w:rsidR="00076919">
        <w:rPr>
          <w:rFonts w:eastAsia="Times New Roman" w:cs="Arial"/>
          <w:lang w:val="fr-FR" w:eastAsia="fr-FR"/>
        </w:rPr>
        <w:t xml:space="preserve"> </w:t>
      </w:r>
      <w:r>
        <w:rPr>
          <w:rFonts w:eastAsia="Times New Roman" w:cs="Arial"/>
          <w:lang w:val="fr-FR" w:eastAsia="fr-FR"/>
        </w:rPr>
        <w:t>;</w:t>
      </w:r>
    </w:p>
    <w:p w:rsidR="00F22613" w:rsidRPr="00F22613" w:rsidRDefault="000A7BC9" w:rsidP="001F3345">
      <w:pPr>
        <w:pStyle w:val="Paragraphedeliste"/>
        <w:numPr>
          <w:ilvl w:val="0"/>
          <w:numId w:val="3"/>
        </w:numPr>
        <w:spacing w:before="0" w:afterLines="50" w:after="120"/>
        <w:ind w:left="714" w:hanging="357"/>
        <w:contextualSpacing w:val="0"/>
        <w:rPr>
          <w:rFonts w:eastAsia="Times New Roman" w:cs="Arial"/>
          <w:lang w:val="fr-FR" w:eastAsia="fr-FR"/>
        </w:rPr>
      </w:pPr>
      <w:r>
        <w:rPr>
          <w:rFonts w:eastAsia="Times New Roman" w:cs="Arial"/>
          <w:lang w:val="fr-FR" w:eastAsia="fr-FR"/>
        </w:rPr>
        <w:t xml:space="preserve">le </w:t>
      </w:r>
      <w:r w:rsidR="0003340B" w:rsidRPr="000A7BC9">
        <w:rPr>
          <w:rFonts w:eastAsia="Times New Roman" w:cs="Arial"/>
          <w:lang w:val="fr-FR" w:eastAsia="fr-FR"/>
        </w:rPr>
        <w:t>vendeur ou l’ent</w:t>
      </w:r>
      <w:r w:rsidR="0006488E" w:rsidRPr="000A7BC9">
        <w:rPr>
          <w:rFonts w:eastAsia="Times New Roman" w:cs="Arial"/>
          <w:lang w:val="fr-FR" w:eastAsia="fr-FR"/>
        </w:rPr>
        <w:t xml:space="preserve">repreneur </w:t>
      </w:r>
      <w:proofErr w:type="gramStart"/>
      <w:r w:rsidR="00991E80" w:rsidRPr="000A7BC9">
        <w:rPr>
          <w:rFonts w:eastAsia="Times New Roman" w:cs="Arial"/>
          <w:lang w:val="fr-FR" w:eastAsia="fr-FR"/>
        </w:rPr>
        <w:t>a</w:t>
      </w:r>
      <w:proofErr w:type="gramEnd"/>
      <w:r w:rsidR="00991E80" w:rsidRPr="000A7BC9">
        <w:rPr>
          <w:rFonts w:eastAsia="Times New Roman" w:cs="Arial"/>
          <w:lang w:val="fr-FR" w:eastAsia="fr-FR"/>
        </w:rPr>
        <w:t xml:space="preserve"> connaissance du</w:t>
      </w:r>
      <w:r>
        <w:rPr>
          <w:rFonts w:eastAsia="Times New Roman" w:cs="Arial"/>
          <w:lang w:val="fr-FR" w:eastAsia="fr-FR"/>
        </w:rPr>
        <w:t xml:space="preserve"> défaut ;</w:t>
      </w:r>
    </w:p>
    <w:p w:rsidR="00991E80" w:rsidRPr="000A7BC9" w:rsidRDefault="00991E80" w:rsidP="001F3345">
      <w:pPr>
        <w:pStyle w:val="Paragraphedeliste"/>
        <w:numPr>
          <w:ilvl w:val="0"/>
          <w:numId w:val="3"/>
        </w:numPr>
        <w:spacing w:before="0" w:afterLines="50" w:after="120"/>
        <w:ind w:left="714" w:hanging="357"/>
        <w:contextualSpacing w:val="0"/>
        <w:rPr>
          <w:rFonts w:eastAsia="Times New Roman" w:cs="Arial"/>
          <w:lang w:val="fr-FR" w:eastAsia="fr-FR"/>
        </w:rPr>
      </w:pPr>
      <w:r w:rsidRPr="000A7BC9">
        <w:rPr>
          <w:rFonts w:eastAsia="Times New Roman" w:cs="Arial"/>
          <w:lang w:val="fr-FR" w:eastAsia="fr-FR"/>
        </w:rPr>
        <w:t xml:space="preserve">il omet </w:t>
      </w:r>
      <w:r w:rsidR="00F51B35">
        <w:rPr>
          <w:rFonts w:eastAsia="Times New Roman" w:cs="Arial"/>
          <w:lang w:val="fr-FR" w:eastAsia="fr-FR"/>
        </w:rPr>
        <w:t xml:space="preserve">volontairement </w:t>
      </w:r>
      <w:r w:rsidRPr="000A7BC9">
        <w:rPr>
          <w:rFonts w:eastAsia="Times New Roman" w:cs="Arial"/>
          <w:lang w:val="fr-FR" w:eastAsia="fr-FR"/>
        </w:rPr>
        <w:t xml:space="preserve">de </w:t>
      </w:r>
      <w:r w:rsidR="0006488E" w:rsidRPr="000A7BC9">
        <w:rPr>
          <w:rFonts w:eastAsia="Times New Roman" w:cs="Arial"/>
          <w:lang w:val="fr-FR" w:eastAsia="fr-FR"/>
        </w:rPr>
        <w:t>le signale</w:t>
      </w:r>
      <w:r w:rsidRPr="000A7BC9">
        <w:rPr>
          <w:rFonts w:eastAsia="Times New Roman" w:cs="Arial"/>
          <w:lang w:val="fr-FR" w:eastAsia="fr-FR"/>
        </w:rPr>
        <w:t>r</w:t>
      </w:r>
      <w:r w:rsidR="0006488E" w:rsidRPr="000A7BC9">
        <w:rPr>
          <w:rFonts w:eastAsia="Times New Roman" w:cs="Arial"/>
          <w:lang w:val="fr-FR" w:eastAsia="fr-FR"/>
        </w:rPr>
        <w:t xml:space="preserve"> </w:t>
      </w:r>
      <w:r w:rsidRPr="000A7BC9">
        <w:rPr>
          <w:rFonts w:eastAsia="Times New Roman" w:cs="Arial"/>
          <w:lang w:val="fr-FR" w:eastAsia="fr-FR"/>
        </w:rPr>
        <w:t>à</w:t>
      </w:r>
      <w:r w:rsidR="009D5DD0" w:rsidRPr="000A7BC9">
        <w:rPr>
          <w:rFonts w:eastAsia="Times New Roman" w:cs="Arial"/>
          <w:lang w:val="fr-FR" w:eastAsia="fr-FR"/>
        </w:rPr>
        <w:t xml:space="preserve"> son cocontractant au </w:t>
      </w:r>
      <w:r w:rsidR="00F51B35">
        <w:rPr>
          <w:rFonts w:eastAsia="Times New Roman" w:cs="Arial"/>
          <w:lang w:val="fr-FR" w:eastAsia="fr-FR"/>
        </w:rPr>
        <w:t>moment du transfert des risques (en cas de vente), respectivement lors de la livraison de l’ouvrage (en cas de contrat d’entreprise)</w:t>
      </w:r>
      <w:r w:rsidR="00076919">
        <w:rPr>
          <w:rFonts w:eastAsia="Times New Roman" w:cs="Arial"/>
          <w:lang w:val="fr-FR" w:eastAsia="fr-FR"/>
        </w:rPr>
        <w:t xml:space="preserve">, au mépris des règles de la bonne foi </w:t>
      </w:r>
      <w:r w:rsidR="000A7BC9">
        <w:rPr>
          <w:rFonts w:eastAsia="Times New Roman" w:cs="Arial"/>
          <w:lang w:val="fr-FR" w:eastAsia="fr-FR"/>
        </w:rPr>
        <w:t>;</w:t>
      </w:r>
    </w:p>
    <w:p w:rsidR="000A7BC9" w:rsidRPr="00076919" w:rsidRDefault="00991E80" w:rsidP="00076919">
      <w:pPr>
        <w:pStyle w:val="Paragraphedeliste"/>
        <w:numPr>
          <w:ilvl w:val="0"/>
          <w:numId w:val="3"/>
        </w:numPr>
        <w:spacing w:before="0"/>
        <w:ind w:left="714" w:hanging="357"/>
        <w:rPr>
          <w:rFonts w:eastAsia="Times New Roman" w:cs="Arial"/>
          <w:lang w:val="fr-FR" w:eastAsia="fr-FR"/>
        </w:rPr>
      </w:pPr>
      <w:r w:rsidRPr="000A7BC9">
        <w:rPr>
          <w:rFonts w:eastAsia="Times New Roman" w:cs="Arial"/>
          <w:lang w:val="fr-FR" w:eastAsia="fr-FR"/>
        </w:rPr>
        <w:t xml:space="preserve">l’acheteur ou le maître </w:t>
      </w:r>
      <w:r w:rsidR="009D5DD0" w:rsidRPr="000A7BC9">
        <w:rPr>
          <w:rFonts w:eastAsia="Times New Roman" w:cs="Arial"/>
          <w:lang w:val="fr-FR" w:eastAsia="fr-FR"/>
        </w:rPr>
        <w:t xml:space="preserve">ignore </w:t>
      </w:r>
      <w:r w:rsidR="000A7BC9" w:rsidRPr="000A7BC9">
        <w:rPr>
          <w:rFonts w:eastAsia="Times New Roman" w:cs="Arial"/>
          <w:lang w:val="fr-FR" w:eastAsia="fr-FR"/>
        </w:rPr>
        <w:t xml:space="preserve">le défaut </w:t>
      </w:r>
      <w:r w:rsidR="00F51B35">
        <w:rPr>
          <w:rFonts w:eastAsia="Times New Roman" w:cs="Arial"/>
          <w:lang w:val="fr-FR" w:eastAsia="fr-FR"/>
        </w:rPr>
        <w:t xml:space="preserve">à ce moment-là </w:t>
      </w:r>
      <w:r w:rsidR="009D5DD0" w:rsidRPr="000A7BC9">
        <w:rPr>
          <w:rFonts w:eastAsia="Times New Roman" w:cs="Arial"/>
          <w:lang w:val="fr-FR" w:eastAsia="fr-FR"/>
        </w:rPr>
        <w:t>et ne peut le découvrir en faisant preuve de l'attention commandée par les circonstances</w:t>
      </w:r>
      <w:r w:rsidR="00076919">
        <w:rPr>
          <w:rFonts w:eastAsia="Times New Roman" w:cs="Arial"/>
          <w:lang w:val="fr-FR" w:eastAsia="fr-FR"/>
        </w:rPr>
        <w:t>.</w:t>
      </w:r>
    </w:p>
    <w:p w:rsidR="00076919" w:rsidRPr="0082058B" w:rsidRDefault="00076919" w:rsidP="00076919">
      <w:pPr>
        <w:tabs>
          <w:tab w:val="left" w:pos="426"/>
        </w:tabs>
        <w:spacing w:before="0"/>
        <w:ind w:left="426" w:hanging="426"/>
        <w:rPr>
          <w:rFonts w:eastAsia="Times New Roman" w:cs="Arial"/>
          <w:b/>
          <w:lang w:val="fr-FR" w:eastAsia="fr-FR"/>
        </w:rPr>
      </w:pPr>
    </w:p>
    <w:p w:rsidR="00076919" w:rsidRPr="0082058B" w:rsidRDefault="00076919" w:rsidP="00076919">
      <w:pPr>
        <w:tabs>
          <w:tab w:val="left" w:pos="426"/>
        </w:tabs>
        <w:spacing w:before="0"/>
        <w:ind w:left="426" w:hanging="426"/>
        <w:rPr>
          <w:rFonts w:eastAsia="Times New Roman" w:cs="Arial"/>
          <w:b/>
          <w:lang w:val="fr-FR" w:eastAsia="fr-FR"/>
        </w:rPr>
      </w:pPr>
      <w:r w:rsidRPr="0082058B">
        <w:rPr>
          <w:rFonts w:eastAsia="Times New Roman" w:cs="Arial"/>
          <w:b/>
          <w:lang w:val="fr-FR" w:eastAsia="fr-FR"/>
        </w:rPr>
        <w:t>2.</w:t>
      </w:r>
      <w:r w:rsidRPr="0082058B">
        <w:rPr>
          <w:rFonts w:eastAsia="Times New Roman" w:cs="Arial"/>
          <w:b/>
          <w:lang w:val="fr-FR" w:eastAsia="fr-FR"/>
        </w:rPr>
        <w:tab/>
        <w:t>L’existence d’un défaut</w:t>
      </w:r>
    </w:p>
    <w:p w:rsidR="00076919" w:rsidRPr="0082058B" w:rsidRDefault="00076919" w:rsidP="00076919">
      <w:pPr>
        <w:spacing w:before="0"/>
        <w:ind w:left="0" w:firstLine="0"/>
        <w:rPr>
          <w:rFonts w:eastAsia="Times New Roman" w:cs="Arial"/>
          <w:lang w:val="fr-FR" w:eastAsia="fr-FR"/>
        </w:rPr>
      </w:pPr>
    </w:p>
    <w:p w:rsidR="00076919" w:rsidRPr="0018716E" w:rsidRDefault="00076919" w:rsidP="00076919">
      <w:pPr>
        <w:spacing w:before="0"/>
        <w:ind w:left="0" w:firstLine="0"/>
        <w:rPr>
          <w:rFonts w:eastAsia="Times New Roman" w:cs="Arial"/>
          <w:lang w:val="fr-FR" w:eastAsia="fr-FR"/>
        </w:rPr>
      </w:pPr>
      <w:r>
        <w:rPr>
          <w:rFonts w:eastAsia="Times New Roman" w:cs="Arial"/>
          <w:lang w:val="fr-FR" w:eastAsia="fr-FR"/>
        </w:rPr>
        <w:t xml:space="preserve">Le défaut frauduleusement ou intentionnellement dissimulé suppose d’abord l’existence d’un </w:t>
      </w:r>
      <w:r w:rsidRPr="00143274">
        <w:rPr>
          <w:rFonts w:eastAsia="Times New Roman" w:cs="Arial"/>
          <w:i/>
          <w:lang w:val="fr-FR" w:eastAsia="fr-FR"/>
        </w:rPr>
        <w:t>défaut</w:t>
      </w:r>
      <w:r>
        <w:rPr>
          <w:rFonts w:eastAsia="Times New Roman" w:cs="Arial"/>
          <w:lang w:val="fr-FR" w:eastAsia="fr-FR"/>
        </w:rPr>
        <w:t xml:space="preserve">. </w:t>
      </w:r>
      <w:r w:rsidRPr="0018716E">
        <w:rPr>
          <w:rFonts w:eastAsia="Times New Roman" w:cs="Arial"/>
          <w:lang w:val="fr-FR" w:eastAsia="fr-FR"/>
        </w:rPr>
        <w:t xml:space="preserve">Il y a défaut lorsque la chose </w:t>
      </w:r>
      <w:r>
        <w:rPr>
          <w:rFonts w:eastAsia="Times New Roman" w:cs="Arial"/>
          <w:lang w:val="fr-FR" w:eastAsia="fr-FR"/>
        </w:rPr>
        <w:t xml:space="preserve">achetée ou </w:t>
      </w:r>
      <w:r w:rsidRPr="0018716E">
        <w:rPr>
          <w:rFonts w:eastAsia="Times New Roman" w:cs="Arial"/>
          <w:lang w:val="fr-FR" w:eastAsia="fr-FR"/>
        </w:rPr>
        <w:t>livrée s'écarte de ce qu'elle d</w:t>
      </w:r>
      <w:r>
        <w:rPr>
          <w:rFonts w:eastAsia="Times New Roman" w:cs="Arial"/>
          <w:lang w:val="fr-FR" w:eastAsia="fr-FR"/>
        </w:rPr>
        <w:t>evrait être en vertu du contrat</w:t>
      </w:r>
      <w:r w:rsidRPr="0018716E">
        <w:rPr>
          <w:rFonts w:eastAsia="Times New Roman" w:cs="Arial"/>
          <w:lang w:val="fr-FR" w:eastAsia="fr-FR"/>
        </w:rPr>
        <w:t xml:space="preserve"> parce qu'elle est dépourvue soit d'une qualité dont le vendeur/entrepreneur avait promis l'existence</w:t>
      </w:r>
      <w:r>
        <w:rPr>
          <w:rFonts w:eastAsia="Times New Roman" w:cs="Arial"/>
          <w:lang w:val="fr-FR" w:eastAsia="fr-FR"/>
        </w:rPr>
        <w:t>,</w:t>
      </w:r>
      <w:r w:rsidRPr="0018716E">
        <w:rPr>
          <w:rFonts w:eastAsia="Times New Roman" w:cs="Arial"/>
          <w:lang w:val="fr-FR" w:eastAsia="fr-FR"/>
        </w:rPr>
        <w:t xml:space="preserve"> soit d'une qualité à laquelle l'acheteur/le maître pouvait s'attendre selon les règles de la bonne foi</w:t>
      </w:r>
      <w:r w:rsidRPr="00EE3B6F">
        <w:rPr>
          <w:rStyle w:val="Appelnotedebasdep"/>
          <w:rFonts w:eastAsia="Times New Roman" w:cs="Arial"/>
          <w:sz w:val="18"/>
          <w:szCs w:val="18"/>
          <w:lang w:val="fr-FR" w:eastAsia="fr-FR"/>
        </w:rPr>
        <w:footnoteReference w:id="3"/>
      </w:r>
      <w:r w:rsidRPr="0018716E">
        <w:rPr>
          <w:rFonts w:eastAsia="Times New Roman" w:cs="Arial"/>
          <w:lang w:val="fr-FR" w:eastAsia="fr-FR"/>
        </w:rPr>
        <w:t>.</w:t>
      </w:r>
    </w:p>
    <w:p w:rsidR="00076919" w:rsidRDefault="00076919" w:rsidP="00076919">
      <w:pPr>
        <w:spacing w:before="0" w:line="225" w:lineRule="atLeast"/>
        <w:ind w:left="0" w:firstLine="0"/>
        <w:rPr>
          <w:rFonts w:eastAsia="Times New Roman" w:cs="Arial"/>
          <w:lang w:val="fr-FR" w:eastAsia="fr-FR"/>
        </w:rPr>
      </w:pPr>
    </w:p>
    <w:p w:rsidR="00076919" w:rsidRDefault="00076919" w:rsidP="00076919">
      <w:pPr>
        <w:spacing w:before="0" w:line="225" w:lineRule="atLeast"/>
        <w:ind w:left="0" w:firstLine="0"/>
        <w:rPr>
          <w:rFonts w:eastAsia="Times New Roman" w:cs="Arial"/>
          <w:lang w:val="fr-FR" w:eastAsia="fr-FR"/>
        </w:rPr>
      </w:pPr>
      <w:r>
        <w:rPr>
          <w:rFonts w:eastAsia="Times New Roman" w:cs="Arial"/>
          <w:lang w:val="fr-FR" w:eastAsia="fr-FR"/>
        </w:rPr>
        <w:t>En premier lieu, le défaut se définit donc comme l’</w:t>
      </w:r>
      <w:r w:rsidRPr="00143274">
        <w:rPr>
          <w:rFonts w:eastAsia="Times New Roman" w:cs="Arial"/>
          <w:i/>
          <w:lang w:val="fr-FR" w:eastAsia="fr-FR"/>
        </w:rPr>
        <w:t>absence d’une qualité</w:t>
      </w:r>
      <w:r>
        <w:rPr>
          <w:rFonts w:eastAsia="Times New Roman" w:cs="Arial"/>
          <w:lang w:val="fr-FR" w:eastAsia="fr-FR"/>
        </w:rPr>
        <w:t xml:space="preserve"> </w:t>
      </w:r>
      <w:r w:rsidRPr="00143274">
        <w:rPr>
          <w:rFonts w:eastAsia="Times New Roman" w:cs="Arial"/>
          <w:i/>
          <w:lang w:val="fr-FR" w:eastAsia="fr-FR"/>
        </w:rPr>
        <w:t>promise</w:t>
      </w:r>
      <w:r>
        <w:rPr>
          <w:rFonts w:eastAsia="Times New Roman" w:cs="Arial"/>
          <w:lang w:val="fr-FR" w:eastAsia="fr-FR"/>
        </w:rPr>
        <w:t xml:space="preserve">. A titre d’exemples, sera ainsi défectueuse la porte palière livrée qui diffère négativement de celle qui était prévue dans le descriptif de construction, le non-respect du standard </w:t>
      </w:r>
      <w:proofErr w:type="spellStart"/>
      <w:r>
        <w:rPr>
          <w:rFonts w:eastAsia="Times New Roman" w:cs="Arial"/>
          <w:lang w:val="fr-FR" w:eastAsia="fr-FR"/>
        </w:rPr>
        <w:t>Minergie</w:t>
      </w:r>
      <w:proofErr w:type="spellEnd"/>
      <w:r>
        <w:rPr>
          <w:rFonts w:eastAsia="Times New Roman" w:cs="Arial"/>
          <w:lang w:val="fr-FR" w:eastAsia="fr-FR"/>
        </w:rPr>
        <w:t xml:space="preserve"> alors qu’il était contractuellement promis, une surface habitable inférieure à celle qui figurait dans l’acte de vente, etc.</w:t>
      </w:r>
    </w:p>
    <w:p w:rsidR="00076919" w:rsidRDefault="00076919" w:rsidP="00076919">
      <w:pPr>
        <w:spacing w:before="0" w:line="225" w:lineRule="atLeast"/>
        <w:ind w:left="0" w:firstLine="0"/>
        <w:rPr>
          <w:rFonts w:eastAsia="Times New Roman" w:cs="Arial"/>
          <w:lang w:val="fr-FR" w:eastAsia="fr-FR"/>
        </w:rPr>
      </w:pPr>
    </w:p>
    <w:p w:rsidR="00076919" w:rsidRDefault="00076919" w:rsidP="00076919">
      <w:pPr>
        <w:spacing w:before="0" w:line="225" w:lineRule="atLeast"/>
        <w:ind w:left="0" w:firstLine="0"/>
        <w:rPr>
          <w:rFonts w:eastAsia="Times New Roman" w:cs="Arial"/>
          <w:lang w:val="fr-FR" w:eastAsia="fr-FR"/>
        </w:rPr>
      </w:pPr>
      <w:r>
        <w:rPr>
          <w:rFonts w:eastAsia="Times New Roman" w:cs="Arial"/>
          <w:lang w:val="fr-FR" w:eastAsia="fr-FR"/>
        </w:rPr>
        <w:t>En second lieu, le défaut se définit par l’</w:t>
      </w:r>
      <w:r>
        <w:rPr>
          <w:rFonts w:eastAsia="Times New Roman" w:cs="Arial"/>
          <w:i/>
          <w:lang w:val="fr-FR" w:eastAsia="fr-FR"/>
        </w:rPr>
        <w:t>absence d’une qualité</w:t>
      </w:r>
      <w:r w:rsidRPr="00143274">
        <w:rPr>
          <w:rFonts w:eastAsia="Times New Roman" w:cs="Arial"/>
          <w:i/>
          <w:lang w:val="fr-FR" w:eastAsia="fr-FR"/>
        </w:rPr>
        <w:t xml:space="preserve"> </w:t>
      </w:r>
      <w:r>
        <w:rPr>
          <w:rFonts w:eastAsia="Times New Roman" w:cs="Arial"/>
          <w:i/>
          <w:lang w:val="fr-FR" w:eastAsia="fr-FR"/>
        </w:rPr>
        <w:t>attendue</w:t>
      </w:r>
      <w:r w:rsidRPr="00143274">
        <w:rPr>
          <w:rFonts w:eastAsia="Times New Roman" w:cs="Arial"/>
          <w:lang w:val="fr-FR" w:eastAsia="fr-FR"/>
        </w:rPr>
        <w:t>, à laquelle l’acheteur ou le maître pouvait s’attendre d’après les règles de la bonne foi, mê</w:t>
      </w:r>
      <w:r>
        <w:rPr>
          <w:rFonts w:eastAsia="Times New Roman" w:cs="Arial"/>
          <w:lang w:val="fr-FR" w:eastAsia="fr-FR"/>
        </w:rPr>
        <w:t>me si cette qualité n’a pas été promise par son cocontractant. On peut citer à titre d’exemples un drainage déficient non conforme aux règles de l’art, la présence d’infiltrations d’eau dans le sous-sol de la villa, l’apparition de fissures inhabituelles sur les murs, un</w:t>
      </w:r>
      <w:r w:rsidR="00F905B6">
        <w:rPr>
          <w:rFonts w:eastAsia="Times New Roman" w:cs="Arial"/>
          <w:lang w:val="fr-FR" w:eastAsia="fr-FR"/>
        </w:rPr>
        <w:t>e isolation phonique inférieure</w:t>
      </w:r>
      <w:r>
        <w:rPr>
          <w:rFonts w:eastAsia="Times New Roman" w:cs="Arial"/>
          <w:lang w:val="fr-FR" w:eastAsia="fr-FR"/>
        </w:rPr>
        <w:t xml:space="preserve"> aux normes en la matière, etc.</w:t>
      </w:r>
    </w:p>
    <w:p w:rsidR="00076919" w:rsidRDefault="00076919" w:rsidP="00076919">
      <w:pPr>
        <w:spacing w:before="0" w:line="225" w:lineRule="atLeast"/>
        <w:ind w:left="0" w:firstLine="0"/>
        <w:rPr>
          <w:rFonts w:eastAsia="Times New Roman" w:cs="Arial"/>
          <w:lang w:val="fr-FR" w:eastAsia="fr-FR"/>
        </w:rPr>
      </w:pPr>
    </w:p>
    <w:p w:rsidR="00076919" w:rsidRDefault="00076919" w:rsidP="00076919">
      <w:pPr>
        <w:spacing w:before="0" w:line="225" w:lineRule="atLeast"/>
        <w:ind w:left="0" w:firstLine="0"/>
      </w:pPr>
      <w:r>
        <w:rPr>
          <w:rFonts w:eastAsia="Times New Roman" w:cs="Arial"/>
          <w:lang w:val="fr-FR" w:eastAsia="fr-FR"/>
        </w:rPr>
        <w:t xml:space="preserve">Qu’il se caractérise par l’absence d’une qualité promise ou par celle d’une qualité attendue, </w:t>
      </w:r>
      <w:r>
        <w:t xml:space="preserve">le défaut est </w:t>
      </w:r>
      <w:r w:rsidRPr="00242B57">
        <w:rPr>
          <w:i/>
        </w:rPr>
        <w:t>apparent</w:t>
      </w:r>
      <w:r>
        <w:t xml:space="preserve"> lorsqu’il est ou peut être constaté lors du transfert des risques (en cas de vente) ou au moment de la livraison de l’ouvrage (en cas de contrat d’entreprise), par un examen attentif de la chose. A l’inverse, le défaut sera qualifié de </w:t>
      </w:r>
      <w:r w:rsidRPr="00242B57">
        <w:rPr>
          <w:i/>
        </w:rPr>
        <w:t>caché</w:t>
      </w:r>
      <w:r>
        <w:rPr>
          <w:i/>
        </w:rPr>
        <w:t xml:space="preserve"> </w:t>
      </w:r>
      <w:r w:rsidRPr="00242B57">
        <w:t xml:space="preserve">s’il </w:t>
      </w:r>
      <w:r>
        <w:t>ne pouvait être constaté ou décelé à ce moment-là, en dépit d’une vérification régulière de la chose. Le défaut caché n’implique donc aucune intention dolosive ou frauduleuse du vendeur ou de l’entrepreneur. Il suffit qu’il ne soit pas décelable par une vérification de la chose au moment du transfert des risques ou de la livraison de l’ouvrage. Il est important de le relever car il y a souvent confusion dans le public entre défaut caché et défaut frauduleusement dissimulé.</w:t>
      </w:r>
      <w:r w:rsidR="00A75A57">
        <w:t xml:space="preserve"> Cela étant dit, seuls les défauts cachés sont susceptibles, à certaines conditions, d’être considérés comme ayant été frauduleusement dissimulés.</w:t>
      </w:r>
    </w:p>
    <w:p w:rsidR="008827BF" w:rsidRDefault="008827BF" w:rsidP="00076919">
      <w:pPr>
        <w:spacing w:before="0" w:line="225" w:lineRule="atLeast"/>
        <w:ind w:left="0" w:firstLine="0"/>
      </w:pPr>
    </w:p>
    <w:p w:rsidR="008827BF" w:rsidRDefault="008827BF" w:rsidP="00076919">
      <w:pPr>
        <w:spacing w:before="0" w:line="225" w:lineRule="atLeast"/>
        <w:ind w:left="0" w:firstLine="0"/>
      </w:pPr>
      <w:r>
        <w:t>La preuve du défaut incombe à l’acheteur, respectivement au maître (art. 8 CC).</w:t>
      </w:r>
    </w:p>
    <w:p w:rsidR="00076919" w:rsidRPr="0018716E" w:rsidRDefault="00076919" w:rsidP="00076919">
      <w:pPr>
        <w:spacing w:before="0" w:line="225" w:lineRule="atLeast"/>
        <w:ind w:left="0" w:firstLine="0"/>
        <w:rPr>
          <w:rFonts w:eastAsia="Times New Roman" w:cs="Arial"/>
          <w:lang w:val="fr-FR" w:eastAsia="fr-FR"/>
        </w:rPr>
      </w:pPr>
    </w:p>
    <w:p w:rsidR="00076919" w:rsidRPr="00076919" w:rsidRDefault="00076919" w:rsidP="00076919">
      <w:pPr>
        <w:tabs>
          <w:tab w:val="left" w:pos="426"/>
        </w:tabs>
        <w:spacing w:before="0" w:line="225" w:lineRule="atLeast"/>
        <w:ind w:left="0" w:firstLine="0"/>
        <w:rPr>
          <w:rFonts w:eastAsia="Times New Roman" w:cs="Arial"/>
          <w:b/>
          <w:lang w:val="fr-FR" w:eastAsia="fr-FR"/>
        </w:rPr>
      </w:pPr>
      <w:r w:rsidRPr="00076919">
        <w:rPr>
          <w:rFonts w:eastAsia="Times New Roman" w:cs="Arial"/>
          <w:b/>
          <w:lang w:val="fr-FR" w:eastAsia="fr-FR"/>
        </w:rPr>
        <w:t>3.</w:t>
      </w:r>
      <w:r>
        <w:rPr>
          <w:rFonts w:eastAsia="Times New Roman" w:cs="Arial"/>
          <w:b/>
          <w:lang w:val="fr-FR" w:eastAsia="fr-FR"/>
        </w:rPr>
        <w:tab/>
      </w:r>
      <w:r w:rsidRPr="00076919">
        <w:rPr>
          <w:rFonts w:eastAsia="Times New Roman" w:cs="Arial"/>
          <w:b/>
          <w:lang w:val="fr-FR" w:eastAsia="fr-FR"/>
        </w:rPr>
        <w:t>L</w:t>
      </w:r>
      <w:r>
        <w:rPr>
          <w:rFonts w:eastAsia="Times New Roman" w:cs="Arial"/>
          <w:b/>
          <w:lang w:val="fr-FR" w:eastAsia="fr-FR"/>
        </w:rPr>
        <w:t xml:space="preserve">e vendeur ou l’entrepreneur </w:t>
      </w:r>
      <w:r w:rsidRPr="00076919">
        <w:rPr>
          <w:rFonts w:eastAsia="Times New Roman" w:cs="Arial"/>
          <w:b/>
          <w:lang w:val="fr-FR" w:eastAsia="fr-FR"/>
        </w:rPr>
        <w:t>a connaissance du défaut</w:t>
      </w:r>
    </w:p>
    <w:p w:rsidR="00076919" w:rsidRDefault="00076919" w:rsidP="009D5DD0">
      <w:pPr>
        <w:spacing w:before="0" w:line="225" w:lineRule="atLeast"/>
        <w:ind w:left="0" w:firstLine="0"/>
        <w:rPr>
          <w:rFonts w:eastAsia="Times New Roman" w:cs="Arial"/>
          <w:lang w:val="fr-FR" w:eastAsia="fr-FR"/>
        </w:rPr>
      </w:pPr>
    </w:p>
    <w:p w:rsidR="008827BF" w:rsidRDefault="00F905B6" w:rsidP="009D5DD0">
      <w:pPr>
        <w:spacing w:before="0" w:line="225" w:lineRule="atLeast"/>
        <w:ind w:left="0" w:firstLine="0"/>
        <w:rPr>
          <w:rFonts w:eastAsia="Times New Roman" w:cs="Arial"/>
          <w:lang w:val="fr-FR" w:eastAsia="fr-FR"/>
        </w:rPr>
      </w:pPr>
      <w:r>
        <w:rPr>
          <w:rFonts w:eastAsia="Times New Roman" w:cs="Arial"/>
          <w:lang w:val="fr-FR" w:eastAsia="fr-FR"/>
        </w:rPr>
        <w:t>Pour être frauduleuse, l</w:t>
      </w:r>
      <w:r w:rsidRPr="0018716E">
        <w:rPr>
          <w:rFonts w:eastAsia="Times New Roman" w:cs="Arial"/>
          <w:lang w:val="fr-FR" w:eastAsia="fr-FR"/>
        </w:rPr>
        <w:t>a dissimulation doit être intentionnelle</w:t>
      </w:r>
      <w:r>
        <w:rPr>
          <w:rFonts w:eastAsia="Times New Roman" w:cs="Arial"/>
          <w:lang w:val="fr-FR" w:eastAsia="fr-FR"/>
        </w:rPr>
        <w:t>, c’est-à-dire volontaire</w:t>
      </w:r>
      <w:r w:rsidRPr="0018716E">
        <w:rPr>
          <w:rFonts w:eastAsia="Times New Roman" w:cs="Arial"/>
          <w:lang w:val="fr-FR" w:eastAsia="fr-FR"/>
        </w:rPr>
        <w:t xml:space="preserve">. Le </w:t>
      </w:r>
      <w:r>
        <w:rPr>
          <w:rFonts w:eastAsia="Times New Roman" w:cs="Arial"/>
          <w:lang w:val="fr-FR" w:eastAsia="fr-FR"/>
        </w:rPr>
        <w:t xml:space="preserve">vendeur ou l’entrepreneur doit donc avoir </w:t>
      </w:r>
      <w:r w:rsidRPr="00076FCD">
        <w:rPr>
          <w:rFonts w:eastAsia="Times New Roman" w:cs="Arial"/>
          <w:lang w:val="fr-FR" w:eastAsia="fr-FR"/>
        </w:rPr>
        <w:t>conscience</w:t>
      </w:r>
      <w:r>
        <w:rPr>
          <w:rFonts w:eastAsia="Times New Roman" w:cs="Arial"/>
          <w:lang w:val="fr-FR" w:eastAsia="fr-FR"/>
        </w:rPr>
        <w:t xml:space="preserve"> du défaut, ce qui implique qu’il en est une </w:t>
      </w:r>
      <w:r w:rsidRPr="00F905B6">
        <w:rPr>
          <w:rFonts w:eastAsia="Times New Roman" w:cs="Arial"/>
          <w:i/>
          <w:lang w:val="fr-FR" w:eastAsia="fr-FR"/>
        </w:rPr>
        <w:t>connaissance</w:t>
      </w:r>
      <w:r>
        <w:rPr>
          <w:rFonts w:eastAsia="Times New Roman" w:cs="Arial"/>
          <w:lang w:val="fr-FR" w:eastAsia="fr-FR"/>
        </w:rPr>
        <w:t xml:space="preserve"> </w:t>
      </w:r>
      <w:r w:rsidRPr="00076FCD">
        <w:rPr>
          <w:rFonts w:eastAsia="Times New Roman" w:cs="Arial"/>
          <w:i/>
          <w:lang w:val="fr-FR" w:eastAsia="fr-FR"/>
        </w:rPr>
        <w:t>effective</w:t>
      </w:r>
      <w:r w:rsidRPr="003C45F8">
        <w:rPr>
          <w:rStyle w:val="Appelnotedebasdep"/>
          <w:rFonts w:eastAsia="Times New Roman" w:cs="Arial"/>
          <w:sz w:val="18"/>
          <w:szCs w:val="18"/>
          <w:lang w:val="fr-FR" w:eastAsia="fr-FR"/>
        </w:rPr>
        <w:footnoteReference w:id="4"/>
      </w:r>
      <w:r>
        <w:rPr>
          <w:rFonts w:eastAsia="Times New Roman" w:cs="Arial"/>
          <w:lang w:val="fr-FR" w:eastAsia="fr-FR"/>
        </w:rPr>
        <w:t>. Toutefois, il n’est pas nécessaire que sa connaissance porte sur tous les détails. Il suffit qu’il soit suffisamment orienté sur la cause à l’origine du défaut pour que l’on puisse retenir qu’il a connaissance du défaut et que, selon les cas, le principe de bonne foi l’oblige à en informer son cocontractant</w:t>
      </w:r>
      <w:r w:rsidRPr="0089335E">
        <w:rPr>
          <w:rStyle w:val="Appelnotedebasdep"/>
          <w:rFonts w:eastAsia="Times New Roman" w:cs="Arial"/>
          <w:sz w:val="18"/>
          <w:szCs w:val="18"/>
          <w:lang w:val="fr-FR" w:eastAsia="fr-FR"/>
        </w:rPr>
        <w:footnoteReference w:id="5"/>
      </w:r>
      <w:r>
        <w:rPr>
          <w:rFonts w:eastAsia="Times New Roman" w:cs="Arial"/>
          <w:lang w:val="fr-FR" w:eastAsia="fr-FR"/>
        </w:rPr>
        <w:t xml:space="preserve">. </w:t>
      </w:r>
      <w:r w:rsidR="000A7BC9">
        <w:rPr>
          <w:rFonts w:eastAsia="Times New Roman" w:cs="Arial"/>
          <w:lang w:val="fr-FR" w:eastAsia="fr-FR"/>
        </w:rPr>
        <w:t xml:space="preserve">La Haute Cour résume bien </w:t>
      </w:r>
      <w:r w:rsidR="00B421C0">
        <w:rPr>
          <w:rFonts w:eastAsia="Times New Roman" w:cs="Arial"/>
          <w:lang w:val="fr-FR" w:eastAsia="fr-FR"/>
        </w:rPr>
        <w:t xml:space="preserve">une partie </w:t>
      </w:r>
      <w:r w:rsidR="00E72552">
        <w:rPr>
          <w:rFonts w:eastAsia="Times New Roman" w:cs="Arial"/>
          <w:lang w:val="fr-FR" w:eastAsia="fr-FR"/>
        </w:rPr>
        <w:t xml:space="preserve">de </w:t>
      </w:r>
      <w:r w:rsidR="009D5DD0" w:rsidRPr="009D5DD0">
        <w:rPr>
          <w:rFonts w:eastAsia="Times New Roman" w:cs="Arial"/>
          <w:lang w:val="fr-FR" w:eastAsia="fr-FR"/>
        </w:rPr>
        <w:t xml:space="preserve">la </w:t>
      </w:r>
      <w:r w:rsidR="009D5DD0">
        <w:rPr>
          <w:rFonts w:eastAsia="Times New Roman" w:cs="Arial"/>
          <w:lang w:val="fr-FR" w:eastAsia="fr-FR"/>
        </w:rPr>
        <w:t xml:space="preserve">problématique </w:t>
      </w:r>
      <w:r w:rsidR="00B421C0">
        <w:rPr>
          <w:rFonts w:eastAsia="Times New Roman" w:cs="Arial"/>
          <w:lang w:val="fr-FR" w:eastAsia="fr-FR"/>
        </w:rPr>
        <w:t>par la formulation suivante : </w:t>
      </w:r>
      <w:r w:rsidR="009D5DD0" w:rsidRPr="009D5DD0">
        <w:rPr>
          <w:rFonts w:eastAsia="Times New Roman" w:cs="Arial"/>
          <w:i/>
          <w:lang w:val="fr-FR" w:eastAsia="fr-FR"/>
        </w:rPr>
        <w:t xml:space="preserve">« résoudre la question de la dissimulation frauduleuse d'un défaut implique […] de </w:t>
      </w:r>
      <w:r w:rsidR="009D5DD0" w:rsidRPr="009D5DD0">
        <w:rPr>
          <w:rFonts w:eastAsia="Times New Roman" w:cs="Arial"/>
          <w:i/>
          <w:lang w:val="fr-FR" w:eastAsia="fr-FR"/>
        </w:rPr>
        <w:lastRenderedPageBreak/>
        <w:t>déterminer ce que savait le vendeur, et quelles connaissances il pouvait de bonne foi imputer à l'acheteur »</w:t>
      </w:r>
      <w:r w:rsidR="009D5DD0" w:rsidRPr="00EE3B6F">
        <w:rPr>
          <w:rStyle w:val="Appelnotedebasdep"/>
          <w:rFonts w:eastAsia="Times New Roman" w:cs="Arial"/>
          <w:sz w:val="18"/>
          <w:szCs w:val="18"/>
          <w:lang w:val="fr-FR" w:eastAsia="fr-FR"/>
        </w:rPr>
        <w:footnoteReference w:id="6"/>
      </w:r>
      <w:r w:rsidR="008827BF">
        <w:rPr>
          <w:rFonts w:eastAsia="Times New Roman" w:cs="Arial"/>
          <w:lang w:val="fr-FR" w:eastAsia="fr-FR"/>
        </w:rPr>
        <w:t>.</w:t>
      </w:r>
    </w:p>
    <w:p w:rsidR="00A75A57" w:rsidRDefault="00A75A57" w:rsidP="00A75A57">
      <w:pPr>
        <w:spacing w:before="0" w:line="225" w:lineRule="atLeast"/>
        <w:ind w:left="0" w:firstLine="0"/>
        <w:rPr>
          <w:rFonts w:eastAsia="Times New Roman" w:cs="Arial"/>
          <w:lang w:val="fr-FR" w:eastAsia="fr-FR"/>
        </w:rPr>
      </w:pPr>
    </w:p>
    <w:p w:rsidR="00A75A57" w:rsidRDefault="00A75A57" w:rsidP="00A75A57">
      <w:pPr>
        <w:spacing w:before="0" w:line="225" w:lineRule="atLeast"/>
        <w:ind w:left="0" w:firstLine="0"/>
        <w:rPr>
          <w:rFonts w:eastAsia="Times New Roman" w:cs="Arial"/>
          <w:lang w:val="fr-FR" w:eastAsia="fr-FR"/>
        </w:rPr>
      </w:pPr>
      <w:r>
        <w:rPr>
          <w:rFonts w:eastAsia="Times New Roman" w:cs="Arial"/>
          <w:lang w:val="fr-FR" w:eastAsia="fr-FR"/>
        </w:rPr>
        <w:t>Le vendeur ou l’entrepreneur n’a pas besoin d’avoir personnellement connaissance du défaut. Le comportement dolosif de son sous-traitant ou de son auxiliaire lui est en effet imputable</w:t>
      </w:r>
      <w:r w:rsidRPr="007304D0">
        <w:rPr>
          <w:rStyle w:val="Appelnotedebasdep"/>
          <w:rFonts w:eastAsia="Times New Roman" w:cs="Arial"/>
          <w:sz w:val="18"/>
          <w:szCs w:val="18"/>
          <w:lang w:val="fr-FR" w:eastAsia="fr-FR"/>
        </w:rPr>
        <w:footnoteReference w:id="7"/>
      </w:r>
      <w:r>
        <w:rPr>
          <w:rFonts w:eastAsia="Times New Roman" w:cs="Arial"/>
          <w:lang w:val="fr-FR" w:eastAsia="fr-FR"/>
        </w:rPr>
        <w:t xml:space="preserve">. En d’autres termes, l’entrepreneur général répond envers le maître d’ouvrage d’un défaut frauduleusement dissimulé par son sous-traitant, même si l’entrepreneur général ignorait l’existence </w:t>
      </w:r>
      <w:r w:rsidR="00F905B6">
        <w:rPr>
          <w:rFonts w:eastAsia="Times New Roman" w:cs="Arial"/>
          <w:lang w:val="fr-FR" w:eastAsia="fr-FR"/>
        </w:rPr>
        <w:t>du</w:t>
      </w:r>
      <w:r>
        <w:rPr>
          <w:rFonts w:eastAsia="Times New Roman" w:cs="Arial"/>
          <w:lang w:val="fr-FR" w:eastAsia="fr-FR"/>
        </w:rPr>
        <w:t xml:space="preserve"> défaut.</w:t>
      </w:r>
    </w:p>
    <w:p w:rsidR="00EA4F02" w:rsidRDefault="00EA4F02" w:rsidP="00A75A57">
      <w:pPr>
        <w:spacing w:before="0" w:line="225" w:lineRule="atLeast"/>
        <w:ind w:left="0" w:firstLine="0"/>
        <w:rPr>
          <w:rFonts w:eastAsia="Times New Roman" w:cs="Arial"/>
          <w:lang w:val="fr-FR" w:eastAsia="fr-FR"/>
        </w:rPr>
      </w:pPr>
    </w:p>
    <w:p w:rsidR="00EA4F02" w:rsidRDefault="00EA4F02" w:rsidP="00A75A57">
      <w:pPr>
        <w:spacing w:before="0" w:line="225" w:lineRule="atLeast"/>
        <w:ind w:left="0" w:firstLine="0"/>
        <w:rPr>
          <w:rFonts w:eastAsia="Times New Roman" w:cs="Arial"/>
          <w:lang w:val="fr-FR" w:eastAsia="fr-FR"/>
        </w:rPr>
      </w:pPr>
      <w:r>
        <w:rPr>
          <w:rFonts w:eastAsia="Times New Roman" w:cs="Arial"/>
          <w:lang w:val="fr-FR" w:eastAsia="fr-FR"/>
        </w:rPr>
        <w:t xml:space="preserve">En cas de vente, le </w:t>
      </w:r>
      <w:r w:rsidRPr="008827BF">
        <w:rPr>
          <w:rFonts w:eastAsia="Times New Roman" w:cs="Arial"/>
          <w:lang w:val="fr-FR" w:eastAsia="fr-FR"/>
        </w:rPr>
        <w:t>moment</w:t>
      </w:r>
      <w:r>
        <w:rPr>
          <w:rFonts w:eastAsia="Times New Roman" w:cs="Arial"/>
          <w:lang w:val="fr-FR" w:eastAsia="fr-FR"/>
        </w:rPr>
        <w:t xml:space="preserve"> déterminant </w:t>
      </w:r>
      <w:r w:rsidR="00A26100">
        <w:rPr>
          <w:rFonts w:eastAsia="Times New Roman" w:cs="Arial"/>
          <w:lang w:val="fr-FR" w:eastAsia="fr-FR"/>
        </w:rPr>
        <w:t xml:space="preserve">de la connaissance du vendeur </w:t>
      </w:r>
      <w:r>
        <w:rPr>
          <w:rFonts w:eastAsia="Times New Roman" w:cs="Arial"/>
          <w:lang w:val="fr-FR" w:eastAsia="fr-FR"/>
        </w:rPr>
        <w:t xml:space="preserve">est celui du </w:t>
      </w:r>
      <w:r w:rsidRPr="008827BF">
        <w:rPr>
          <w:rFonts w:eastAsia="Times New Roman" w:cs="Arial"/>
          <w:i/>
          <w:lang w:val="fr-FR" w:eastAsia="fr-FR"/>
        </w:rPr>
        <w:t>transfert des risques</w:t>
      </w:r>
      <w:r>
        <w:rPr>
          <w:rFonts w:eastAsia="Times New Roman" w:cs="Arial"/>
          <w:lang w:val="fr-FR" w:eastAsia="fr-FR"/>
        </w:rPr>
        <w:t>. Selon l’article 185 al. 1 CO, les risques passent à l’acquéreur dès la conclusion du contrat. Cette règle est</w:t>
      </w:r>
      <w:r w:rsidR="00F905B6">
        <w:rPr>
          <w:rFonts w:eastAsia="Times New Roman" w:cs="Arial"/>
          <w:lang w:val="fr-FR" w:eastAsia="fr-FR"/>
        </w:rPr>
        <w:t xml:space="preserve"> valable en cas de vente ferme </w:t>
      </w:r>
      <w:r>
        <w:rPr>
          <w:rFonts w:eastAsia="Times New Roman" w:cs="Arial"/>
          <w:lang w:val="fr-FR" w:eastAsia="fr-FR"/>
        </w:rPr>
        <w:t>et immédiate. Toutefois, lorsqu’un terme a été fixé conventionnellement pour la prise de possession de l’immeuble vendu, le transfert des risques est présumé interve</w:t>
      </w:r>
      <w:r w:rsidR="00CE10A6">
        <w:rPr>
          <w:rFonts w:eastAsia="Times New Roman" w:cs="Arial"/>
          <w:lang w:val="fr-FR" w:eastAsia="fr-FR"/>
        </w:rPr>
        <w:t>nir à l’échéance du terme (art. </w:t>
      </w:r>
      <w:r>
        <w:rPr>
          <w:rFonts w:eastAsia="Times New Roman" w:cs="Arial"/>
          <w:lang w:val="fr-FR" w:eastAsia="fr-FR"/>
        </w:rPr>
        <w:t>220 CO), indépendamment de la date d’inscription au registre foncier</w:t>
      </w:r>
      <w:r w:rsidR="00CE10A6" w:rsidRPr="00CE10A6">
        <w:rPr>
          <w:rStyle w:val="Appelnotedebasdep"/>
          <w:rFonts w:eastAsia="Times New Roman" w:cs="Arial"/>
          <w:sz w:val="18"/>
          <w:szCs w:val="18"/>
          <w:lang w:val="fr-FR" w:eastAsia="fr-FR"/>
        </w:rPr>
        <w:footnoteReference w:id="8"/>
      </w:r>
      <w:r>
        <w:rPr>
          <w:rFonts w:eastAsia="Times New Roman" w:cs="Arial"/>
          <w:lang w:val="fr-FR" w:eastAsia="fr-FR"/>
        </w:rPr>
        <w:t xml:space="preserve">. De même, si le contrat de vente immobilière a été conclu sous condition suspensive, le transfert des risques coïncidera avec </w:t>
      </w:r>
      <w:r w:rsidR="001C6652">
        <w:rPr>
          <w:rFonts w:eastAsia="Times New Roman" w:cs="Arial"/>
          <w:lang w:val="fr-FR" w:eastAsia="fr-FR"/>
        </w:rPr>
        <w:t>l’accomplissement de la condition (art. 185 al. 3 CO).</w:t>
      </w:r>
    </w:p>
    <w:p w:rsidR="00EA4F02" w:rsidRDefault="00EA4F02" w:rsidP="00A75A57">
      <w:pPr>
        <w:spacing w:before="0" w:line="225" w:lineRule="atLeast"/>
        <w:ind w:left="0" w:firstLine="0"/>
        <w:rPr>
          <w:rFonts w:eastAsia="Times New Roman" w:cs="Arial"/>
          <w:lang w:val="fr-FR" w:eastAsia="fr-FR"/>
        </w:rPr>
      </w:pPr>
    </w:p>
    <w:p w:rsidR="001C6652" w:rsidRDefault="001C6652" w:rsidP="009D5DD0">
      <w:pPr>
        <w:spacing w:before="0" w:line="225" w:lineRule="atLeast"/>
        <w:ind w:left="0" w:firstLine="0"/>
        <w:rPr>
          <w:rFonts w:eastAsia="Times New Roman" w:cs="Arial"/>
          <w:lang w:val="fr-FR" w:eastAsia="fr-FR"/>
        </w:rPr>
      </w:pPr>
      <w:r>
        <w:rPr>
          <w:rFonts w:eastAsia="Times New Roman" w:cs="Arial"/>
          <w:lang w:val="fr-FR" w:eastAsia="fr-FR"/>
        </w:rPr>
        <w:t xml:space="preserve">En cas de contrat d’entreprise, le moment déterminant est celui </w:t>
      </w:r>
      <w:r w:rsidR="00EA4F02">
        <w:rPr>
          <w:rFonts w:eastAsia="Times New Roman" w:cs="Arial"/>
          <w:lang w:val="fr-FR" w:eastAsia="fr-FR"/>
        </w:rPr>
        <w:t xml:space="preserve">de la </w:t>
      </w:r>
      <w:r w:rsidR="00EA4F02" w:rsidRPr="008827BF">
        <w:rPr>
          <w:rFonts w:eastAsia="Times New Roman" w:cs="Arial"/>
          <w:i/>
          <w:lang w:val="fr-FR" w:eastAsia="fr-FR"/>
        </w:rPr>
        <w:t>livraison</w:t>
      </w:r>
      <w:r w:rsidR="00EA4F02">
        <w:rPr>
          <w:rFonts w:eastAsia="Times New Roman" w:cs="Arial"/>
          <w:lang w:val="fr-FR" w:eastAsia="fr-FR"/>
        </w:rPr>
        <w:t xml:space="preserve"> de l’ouvrage</w:t>
      </w:r>
      <w:r>
        <w:rPr>
          <w:rFonts w:eastAsia="Times New Roman" w:cs="Arial"/>
          <w:lang w:val="fr-FR" w:eastAsia="fr-FR"/>
        </w:rPr>
        <w:t>, soit la remise au maître de l’ouvrage achevé</w:t>
      </w:r>
      <w:r w:rsidRPr="003C45F8">
        <w:rPr>
          <w:rStyle w:val="Appelnotedebasdep"/>
          <w:rFonts w:eastAsia="Times New Roman" w:cs="Arial"/>
          <w:sz w:val="18"/>
          <w:szCs w:val="18"/>
          <w:lang w:val="fr-FR" w:eastAsia="fr-FR"/>
        </w:rPr>
        <w:footnoteReference w:id="9"/>
      </w:r>
      <w:r>
        <w:rPr>
          <w:rFonts w:eastAsia="Times New Roman" w:cs="Arial"/>
          <w:lang w:val="fr-FR" w:eastAsia="fr-FR"/>
        </w:rPr>
        <w:t>.</w:t>
      </w:r>
    </w:p>
    <w:p w:rsidR="008827BF" w:rsidRDefault="008827BF" w:rsidP="009D5DD0">
      <w:pPr>
        <w:spacing w:before="0" w:line="225" w:lineRule="atLeast"/>
        <w:ind w:left="0" w:firstLine="0"/>
        <w:rPr>
          <w:rFonts w:eastAsia="Times New Roman" w:cs="Arial"/>
          <w:lang w:val="fr-FR" w:eastAsia="fr-FR"/>
        </w:rPr>
      </w:pPr>
    </w:p>
    <w:p w:rsidR="008827BF" w:rsidRDefault="008827BF" w:rsidP="009D5DD0">
      <w:pPr>
        <w:spacing w:before="0" w:line="225" w:lineRule="atLeast"/>
        <w:ind w:left="0" w:firstLine="0"/>
        <w:rPr>
          <w:rFonts w:eastAsia="Times New Roman" w:cs="Arial"/>
          <w:lang w:val="fr-FR" w:eastAsia="fr-FR"/>
        </w:rPr>
      </w:pPr>
      <w:r>
        <w:rPr>
          <w:rFonts w:eastAsia="Times New Roman" w:cs="Arial"/>
          <w:lang w:val="fr-FR" w:eastAsia="fr-FR"/>
        </w:rPr>
        <w:t>Il appartient à l’acheteur et au maître de prouver que le vendeur, respectivement l’entrepreneur, avait connaissance du défaut à ce moment-là.</w:t>
      </w:r>
    </w:p>
    <w:p w:rsidR="000A7BC9" w:rsidRDefault="000A7BC9" w:rsidP="009D5DD0">
      <w:pPr>
        <w:spacing w:before="0" w:line="225" w:lineRule="atLeast"/>
        <w:ind w:left="0" w:firstLine="0"/>
        <w:rPr>
          <w:rFonts w:eastAsia="Times New Roman" w:cs="Arial"/>
          <w:lang w:val="fr-FR" w:eastAsia="fr-FR"/>
        </w:rPr>
      </w:pPr>
    </w:p>
    <w:p w:rsidR="0089335E" w:rsidRPr="00A75A57" w:rsidRDefault="00A75A57" w:rsidP="00A75A57">
      <w:pPr>
        <w:tabs>
          <w:tab w:val="left" w:pos="426"/>
        </w:tabs>
        <w:spacing w:before="0" w:line="225" w:lineRule="atLeast"/>
        <w:ind w:left="426" w:hanging="426"/>
        <w:rPr>
          <w:rFonts w:eastAsia="Times New Roman" w:cs="Arial"/>
          <w:b/>
          <w:lang w:val="fr-FR" w:eastAsia="fr-FR"/>
        </w:rPr>
      </w:pPr>
      <w:r w:rsidRPr="00A75A57">
        <w:rPr>
          <w:rFonts w:eastAsia="Times New Roman" w:cs="Arial"/>
          <w:b/>
          <w:lang w:val="fr-FR" w:eastAsia="fr-FR"/>
        </w:rPr>
        <w:t xml:space="preserve">4. </w:t>
      </w:r>
      <w:r>
        <w:rPr>
          <w:rFonts w:eastAsia="Times New Roman" w:cs="Arial"/>
          <w:b/>
          <w:lang w:val="fr-FR" w:eastAsia="fr-FR"/>
        </w:rPr>
        <w:tab/>
      </w:r>
      <w:r w:rsidRPr="00A75A57">
        <w:rPr>
          <w:rFonts w:eastAsia="Times New Roman" w:cs="Arial"/>
          <w:b/>
          <w:lang w:val="fr-FR" w:eastAsia="fr-FR"/>
        </w:rPr>
        <w:t>Le vendeur ou l’entrepreneur omet de signaler le défaut à son cocontractant, au mépris des règles de la bonne foi</w:t>
      </w:r>
    </w:p>
    <w:p w:rsidR="00457515" w:rsidRDefault="00457515" w:rsidP="0018716E">
      <w:pPr>
        <w:spacing w:before="0" w:line="225" w:lineRule="atLeast"/>
        <w:ind w:left="0" w:firstLine="0"/>
        <w:jc w:val="left"/>
        <w:rPr>
          <w:rFonts w:eastAsia="Times New Roman" w:cs="Arial"/>
          <w:lang w:val="fr-FR" w:eastAsia="fr-FR"/>
        </w:rPr>
      </w:pPr>
    </w:p>
    <w:p w:rsidR="00A75A57" w:rsidRDefault="00A75A57" w:rsidP="00A75A57">
      <w:pPr>
        <w:spacing w:before="0" w:line="225" w:lineRule="atLeast"/>
        <w:ind w:left="0" w:firstLine="0"/>
        <w:rPr>
          <w:rFonts w:eastAsia="Times New Roman" w:cs="Arial"/>
          <w:lang w:val="fr-FR" w:eastAsia="fr-FR"/>
        </w:rPr>
      </w:pPr>
      <w:r>
        <w:rPr>
          <w:rFonts w:eastAsia="Times New Roman" w:cs="Arial"/>
          <w:lang w:val="fr-FR" w:eastAsia="fr-FR"/>
        </w:rPr>
        <w:t xml:space="preserve">Pour qu’il y ait dissimulation </w:t>
      </w:r>
      <w:r w:rsidR="0015724F">
        <w:rPr>
          <w:rFonts w:eastAsia="Times New Roman" w:cs="Arial"/>
          <w:lang w:val="fr-FR" w:eastAsia="fr-FR"/>
        </w:rPr>
        <w:t>volontaire et frauduleuse</w:t>
      </w:r>
      <w:r>
        <w:rPr>
          <w:rFonts w:eastAsia="Times New Roman" w:cs="Arial"/>
          <w:lang w:val="fr-FR" w:eastAsia="fr-FR"/>
        </w:rPr>
        <w:t>, il n’est pas nécessaire que le vendeur ou l’entrepreneur tienne des propos mensongers ou inexacts</w:t>
      </w:r>
      <w:r w:rsidR="00A65327">
        <w:rPr>
          <w:rFonts w:eastAsia="Times New Roman" w:cs="Arial"/>
          <w:lang w:val="fr-FR" w:eastAsia="fr-FR"/>
        </w:rPr>
        <w:t>, ni qu’il se soit employé à dissimuler le vice par un procédé quelconque (par exemple en recouvrant de peinture fraîche les traces causées par des infiltrations d’eau récurrentes</w:t>
      </w:r>
      <w:r w:rsidR="009118BF">
        <w:rPr>
          <w:rFonts w:eastAsia="Times New Roman" w:cs="Arial"/>
          <w:lang w:val="fr-FR" w:eastAsia="fr-FR"/>
        </w:rPr>
        <w:t>)</w:t>
      </w:r>
      <w:r>
        <w:rPr>
          <w:rFonts w:eastAsia="Times New Roman" w:cs="Arial"/>
          <w:lang w:val="fr-FR" w:eastAsia="fr-FR"/>
        </w:rPr>
        <w:t xml:space="preserve">. Il suffit qu’il taise le défaut qu’il connait envers un acheteur ou un maître qui, lui, ignore l’existence du défaut et ne peut le découvrir aisément. </w:t>
      </w:r>
      <w:r w:rsidR="00A65327">
        <w:rPr>
          <w:rFonts w:eastAsia="Times New Roman" w:cs="Arial"/>
          <w:lang w:val="fr-FR" w:eastAsia="fr-FR"/>
        </w:rPr>
        <w:t xml:space="preserve">La dissimulation frauduleuse peut donc être </w:t>
      </w:r>
      <w:r w:rsidR="00A07EAD">
        <w:rPr>
          <w:rFonts w:eastAsia="Times New Roman" w:cs="Arial"/>
          <w:lang w:val="fr-FR" w:eastAsia="fr-FR"/>
        </w:rPr>
        <w:t xml:space="preserve">déjà </w:t>
      </w:r>
      <w:r w:rsidR="00A65327">
        <w:rPr>
          <w:rFonts w:eastAsia="Times New Roman" w:cs="Arial"/>
          <w:lang w:val="fr-FR" w:eastAsia="fr-FR"/>
        </w:rPr>
        <w:t xml:space="preserve">réalisée </w:t>
      </w:r>
      <w:r w:rsidR="00A07EAD">
        <w:rPr>
          <w:rFonts w:eastAsia="Times New Roman" w:cs="Arial"/>
          <w:lang w:val="fr-FR" w:eastAsia="fr-FR"/>
        </w:rPr>
        <w:t xml:space="preserve">lorsque le </w:t>
      </w:r>
      <w:r w:rsidR="00A65327">
        <w:rPr>
          <w:rFonts w:eastAsia="Times New Roman" w:cs="Arial"/>
          <w:lang w:val="fr-FR" w:eastAsia="fr-FR"/>
        </w:rPr>
        <w:t>vendeur ou l’entrepreneur</w:t>
      </w:r>
      <w:r w:rsidR="00A07EAD">
        <w:rPr>
          <w:rFonts w:eastAsia="Times New Roman" w:cs="Arial"/>
          <w:lang w:val="fr-FR" w:eastAsia="fr-FR"/>
        </w:rPr>
        <w:t xml:space="preserve"> passe sous silence certains faits que la loi, le contrat ou les règles de la bonne foi lui commandent de révéler</w:t>
      </w:r>
      <w:r w:rsidR="00A07EAD">
        <w:rPr>
          <w:rStyle w:val="Appelnotedebasdep"/>
          <w:rFonts w:eastAsia="Times New Roman" w:cs="Arial"/>
          <w:lang w:val="fr-FR" w:eastAsia="fr-FR"/>
        </w:rPr>
        <w:footnoteReference w:id="10"/>
      </w:r>
      <w:r w:rsidR="00A65327">
        <w:rPr>
          <w:rFonts w:eastAsia="Times New Roman" w:cs="Arial"/>
          <w:lang w:val="fr-FR" w:eastAsia="fr-FR"/>
        </w:rPr>
        <w:t>.</w:t>
      </w:r>
    </w:p>
    <w:p w:rsidR="00A75A57" w:rsidRPr="0018716E" w:rsidRDefault="00A75A57" w:rsidP="0018716E">
      <w:pPr>
        <w:spacing w:before="0" w:line="225" w:lineRule="atLeast"/>
        <w:ind w:left="0" w:firstLine="0"/>
        <w:jc w:val="left"/>
        <w:rPr>
          <w:rFonts w:eastAsia="Times New Roman" w:cs="Arial"/>
          <w:lang w:val="fr-FR" w:eastAsia="fr-FR"/>
        </w:rPr>
      </w:pPr>
    </w:p>
    <w:p w:rsidR="00BB5743" w:rsidRPr="0018716E" w:rsidRDefault="0006488E" w:rsidP="0018716E">
      <w:pPr>
        <w:spacing w:before="0" w:line="225" w:lineRule="atLeast"/>
        <w:ind w:left="0" w:firstLine="0"/>
        <w:rPr>
          <w:rFonts w:eastAsia="Times New Roman" w:cs="Arial"/>
          <w:lang w:val="fr-FR" w:eastAsia="fr-FR"/>
        </w:rPr>
      </w:pPr>
      <w:r w:rsidRPr="0018716E">
        <w:rPr>
          <w:rFonts w:eastAsia="Times New Roman" w:cs="Arial"/>
          <w:lang w:val="fr-FR" w:eastAsia="fr-FR"/>
        </w:rPr>
        <w:lastRenderedPageBreak/>
        <w:t xml:space="preserve">La notion de « dissimulation frauduleuse » est </w:t>
      </w:r>
      <w:r w:rsidR="00076FCD">
        <w:rPr>
          <w:rFonts w:eastAsia="Times New Roman" w:cs="Arial"/>
          <w:lang w:val="fr-FR" w:eastAsia="fr-FR"/>
        </w:rPr>
        <w:t xml:space="preserve">néanmoins </w:t>
      </w:r>
      <w:r w:rsidRPr="0018716E">
        <w:rPr>
          <w:rFonts w:eastAsia="Times New Roman" w:cs="Arial"/>
          <w:lang w:val="fr-FR" w:eastAsia="fr-FR"/>
        </w:rPr>
        <w:t xml:space="preserve">étroitement liée au </w:t>
      </w:r>
      <w:r w:rsidRPr="008827BF">
        <w:rPr>
          <w:rFonts w:eastAsia="Times New Roman" w:cs="Arial"/>
          <w:i/>
          <w:lang w:val="fr-FR" w:eastAsia="fr-FR"/>
        </w:rPr>
        <w:t>devoir d’information</w:t>
      </w:r>
      <w:r w:rsidRPr="0018716E">
        <w:rPr>
          <w:rFonts w:eastAsia="Times New Roman" w:cs="Arial"/>
          <w:lang w:val="fr-FR" w:eastAsia="fr-FR"/>
        </w:rPr>
        <w:t xml:space="preserve"> auquel vendeur et entrepreneur </w:t>
      </w:r>
      <w:r w:rsidR="007304D0">
        <w:rPr>
          <w:rFonts w:eastAsia="Times New Roman" w:cs="Arial"/>
          <w:lang w:val="fr-FR" w:eastAsia="fr-FR"/>
        </w:rPr>
        <w:t>peuvent être</w:t>
      </w:r>
      <w:r w:rsidRPr="0018716E">
        <w:rPr>
          <w:rFonts w:eastAsia="Times New Roman" w:cs="Arial"/>
          <w:lang w:val="fr-FR" w:eastAsia="fr-FR"/>
        </w:rPr>
        <w:t xml:space="preserve"> tenus </w:t>
      </w:r>
      <w:r w:rsidR="007304D0">
        <w:rPr>
          <w:rFonts w:eastAsia="Times New Roman" w:cs="Arial"/>
          <w:lang w:val="fr-FR" w:eastAsia="fr-FR"/>
        </w:rPr>
        <w:t xml:space="preserve">envers leur cocontractant. Ce devoir, qui </w:t>
      </w:r>
      <w:r w:rsidRPr="0018716E">
        <w:rPr>
          <w:rFonts w:eastAsia="Times New Roman" w:cs="Arial"/>
          <w:lang w:val="fr-FR" w:eastAsia="fr-FR"/>
        </w:rPr>
        <w:t>découle des règles de la bonne foi</w:t>
      </w:r>
      <w:r w:rsidR="007304D0">
        <w:rPr>
          <w:rFonts w:eastAsia="Times New Roman" w:cs="Arial"/>
          <w:lang w:val="fr-FR" w:eastAsia="fr-FR"/>
        </w:rPr>
        <w:t xml:space="preserve">, </w:t>
      </w:r>
      <w:r w:rsidRPr="0018716E">
        <w:rPr>
          <w:rFonts w:eastAsia="Times New Roman" w:cs="Arial"/>
          <w:lang w:val="fr-FR" w:eastAsia="fr-FR"/>
        </w:rPr>
        <w:t>n’est pas illimité</w:t>
      </w:r>
      <w:r w:rsidR="0015724F">
        <w:rPr>
          <w:rFonts w:eastAsia="Times New Roman" w:cs="Arial"/>
          <w:lang w:val="fr-FR" w:eastAsia="fr-FR"/>
        </w:rPr>
        <w:t xml:space="preserve"> dans la mesure où ni le vendeur ni l’entrepreneur ne sont tenus à un devoir général de collaborer à la découverte des défauts</w:t>
      </w:r>
      <w:r w:rsidR="0015724F" w:rsidRPr="003C45F8">
        <w:rPr>
          <w:rStyle w:val="Appelnotedebasdep"/>
          <w:rFonts w:eastAsia="Times New Roman" w:cs="Arial"/>
          <w:sz w:val="18"/>
          <w:szCs w:val="18"/>
          <w:lang w:val="fr-FR" w:eastAsia="fr-FR"/>
        </w:rPr>
        <w:footnoteReference w:id="11"/>
      </w:r>
      <w:r w:rsidR="00457515" w:rsidRPr="0018716E">
        <w:rPr>
          <w:rFonts w:eastAsia="Times New Roman" w:cs="Arial"/>
          <w:lang w:val="fr-FR" w:eastAsia="fr-FR"/>
        </w:rPr>
        <w:t>. Savoir s'il existe un devoir d'informer dépend de</w:t>
      </w:r>
      <w:r w:rsidR="007C796D">
        <w:rPr>
          <w:rFonts w:eastAsia="Times New Roman" w:cs="Arial"/>
          <w:lang w:val="fr-FR" w:eastAsia="fr-FR"/>
        </w:rPr>
        <w:t>s circonstances du cas concret</w:t>
      </w:r>
      <w:r w:rsidR="00326738" w:rsidRPr="00326738">
        <w:rPr>
          <w:rStyle w:val="Appelnotedebasdep"/>
          <w:rFonts w:eastAsia="Times New Roman" w:cs="Arial"/>
          <w:sz w:val="18"/>
          <w:szCs w:val="18"/>
          <w:lang w:val="fr-FR" w:eastAsia="fr-FR"/>
        </w:rPr>
        <w:footnoteReference w:id="12"/>
      </w:r>
      <w:r w:rsidR="007C796D">
        <w:rPr>
          <w:rFonts w:eastAsia="Times New Roman" w:cs="Arial"/>
          <w:lang w:val="fr-FR" w:eastAsia="fr-FR"/>
        </w:rPr>
        <w:t xml:space="preserve">. </w:t>
      </w:r>
      <w:r w:rsidR="00457515" w:rsidRPr="0018716E">
        <w:rPr>
          <w:rFonts w:eastAsia="Times New Roman" w:cs="Arial"/>
          <w:lang w:val="fr-FR" w:eastAsia="fr-FR"/>
        </w:rPr>
        <w:t xml:space="preserve">Le vendeur </w:t>
      </w:r>
      <w:r w:rsidR="007C796D">
        <w:rPr>
          <w:rFonts w:eastAsia="Times New Roman" w:cs="Arial"/>
          <w:lang w:val="fr-FR" w:eastAsia="fr-FR"/>
        </w:rPr>
        <w:t>ou</w:t>
      </w:r>
      <w:r w:rsidRPr="0018716E">
        <w:rPr>
          <w:rFonts w:eastAsia="Times New Roman" w:cs="Arial"/>
          <w:lang w:val="fr-FR" w:eastAsia="fr-FR"/>
        </w:rPr>
        <w:t xml:space="preserve"> l’entrepreneur </w:t>
      </w:r>
      <w:r w:rsidR="00A65327">
        <w:rPr>
          <w:rFonts w:eastAsia="Times New Roman" w:cs="Arial"/>
          <w:lang w:val="fr-FR" w:eastAsia="fr-FR"/>
        </w:rPr>
        <w:t>est en tous cas</w:t>
      </w:r>
      <w:r w:rsidR="007C796D">
        <w:rPr>
          <w:rFonts w:eastAsia="Times New Roman" w:cs="Arial"/>
          <w:lang w:val="fr-FR" w:eastAsia="fr-FR"/>
        </w:rPr>
        <w:t xml:space="preserve"> dans</w:t>
      </w:r>
      <w:r w:rsidRPr="0018716E">
        <w:rPr>
          <w:rFonts w:eastAsia="Times New Roman" w:cs="Arial"/>
          <w:lang w:val="fr-FR" w:eastAsia="fr-FR"/>
        </w:rPr>
        <w:t xml:space="preserve"> l’obligation de détromper </w:t>
      </w:r>
      <w:r w:rsidR="007C796D">
        <w:rPr>
          <w:rFonts w:eastAsia="Times New Roman" w:cs="Arial"/>
          <w:lang w:val="fr-FR" w:eastAsia="fr-FR"/>
        </w:rPr>
        <w:t>son</w:t>
      </w:r>
      <w:r w:rsidRPr="0018716E">
        <w:rPr>
          <w:rFonts w:eastAsia="Times New Roman" w:cs="Arial"/>
          <w:lang w:val="fr-FR" w:eastAsia="fr-FR"/>
        </w:rPr>
        <w:t xml:space="preserve"> partenaire</w:t>
      </w:r>
      <w:r w:rsidR="00BB5743" w:rsidRPr="0018716E">
        <w:rPr>
          <w:rFonts w:eastAsia="Times New Roman" w:cs="Arial"/>
          <w:lang w:val="fr-FR" w:eastAsia="fr-FR"/>
        </w:rPr>
        <w:t> :</w:t>
      </w:r>
    </w:p>
    <w:p w:rsidR="00BB5743" w:rsidRPr="0018716E" w:rsidRDefault="00BB5743" w:rsidP="0018716E">
      <w:pPr>
        <w:spacing w:before="0" w:line="225" w:lineRule="atLeast"/>
        <w:ind w:left="0" w:firstLine="0"/>
        <w:rPr>
          <w:rFonts w:eastAsia="Times New Roman" w:cs="Arial"/>
          <w:lang w:val="fr-FR" w:eastAsia="fr-FR"/>
        </w:rPr>
      </w:pPr>
    </w:p>
    <w:p w:rsidR="00BB5743" w:rsidRPr="001F3345" w:rsidRDefault="00457515" w:rsidP="001F3345">
      <w:pPr>
        <w:pStyle w:val="Paragraphedeliste"/>
        <w:numPr>
          <w:ilvl w:val="0"/>
          <w:numId w:val="4"/>
        </w:numPr>
        <w:spacing w:before="0" w:after="120" w:line="225" w:lineRule="atLeast"/>
        <w:ind w:left="714" w:hanging="357"/>
        <w:contextualSpacing w:val="0"/>
        <w:rPr>
          <w:rFonts w:eastAsia="Times New Roman" w:cs="Arial"/>
          <w:lang w:val="fr-FR" w:eastAsia="fr-FR"/>
        </w:rPr>
      </w:pPr>
      <w:r w:rsidRPr="00F22613">
        <w:rPr>
          <w:rFonts w:eastAsia="Times New Roman" w:cs="Arial"/>
          <w:lang w:val="fr-FR" w:eastAsia="fr-FR"/>
        </w:rPr>
        <w:t xml:space="preserve">lorsqu'il sait </w:t>
      </w:r>
      <w:r w:rsidR="007304D0" w:rsidRPr="00F22613">
        <w:rPr>
          <w:rFonts w:eastAsia="Times New Roman" w:cs="Arial"/>
          <w:lang w:val="fr-FR" w:eastAsia="fr-FR"/>
        </w:rPr>
        <w:t>–</w:t>
      </w:r>
      <w:r w:rsidRPr="00F22613">
        <w:rPr>
          <w:rFonts w:eastAsia="Times New Roman" w:cs="Arial"/>
          <w:lang w:val="fr-FR" w:eastAsia="fr-FR"/>
        </w:rPr>
        <w:t xml:space="preserve"> ou devrait savoir </w:t>
      </w:r>
      <w:r w:rsidR="007304D0" w:rsidRPr="00F22613">
        <w:rPr>
          <w:rFonts w:eastAsia="Times New Roman" w:cs="Arial"/>
          <w:lang w:val="fr-FR" w:eastAsia="fr-FR"/>
        </w:rPr>
        <w:t xml:space="preserve">– </w:t>
      </w:r>
      <w:r w:rsidRPr="00F22613">
        <w:rPr>
          <w:rFonts w:eastAsia="Times New Roman" w:cs="Arial"/>
          <w:lang w:val="fr-FR" w:eastAsia="fr-FR"/>
        </w:rPr>
        <w:t>que celui-ci est dans l'er</w:t>
      </w:r>
      <w:r w:rsidR="0018716E" w:rsidRPr="00F22613">
        <w:rPr>
          <w:rFonts w:eastAsia="Times New Roman" w:cs="Arial"/>
          <w:lang w:val="fr-FR" w:eastAsia="fr-FR"/>
        </w:rPr>
        <w:t>reur sur les qualités de la chose vendue ou de l'ouvrage livré</w:t>
      </w:r>
      <w:r w:rsidRPr="00EE3B6F">
        <w:rPr>
          <w:rStyle w:val="Appelnotedebasdep"/>
          <w:rFonts w:eastAsia="Times New Roman" w:cs="Arial"/>
          <w:sz w:val="18"/>
          <w:szCs w:val="18"/>
          <w:lang w:val="fr-FR" w:eastAsia="fr-FR"/>
        </w:rPr>
        <w:footnoteReference w:id="13"/>
      </w:r>
      <w:r w:rsidR="00326738">
        <w:rPr>
          <w:rFonts w:eastAsia="Times New Roman" w:cs="Arial"/>
          <w:lang w:val="fr-FR" w:eastAsia="fr-FR"/>
        </w:rPr>
        <w:t>; un tel devoir d’information est ainsi reconnu lorsque le vendeur doit admettre que le défaut connu de lui pourrait empêcher ou entraver considérablement l’usage prévu par l’acheteur</w:t>
      </w:r>
      <w:r w:rsidR="00326738" w:rsidRPr="003C45F8">
        <w:rPr>
          <w:rStyle w:val="Appelnotedebasdep"/>
          <w:rFonts w:eastAsia="Times New Roman" w:cs="Arial"/>
          <w:sz w:val="18"/>
          <w:szCs w:val="18"/>
          <w:lang w:val="fr-FR" w:eastAsia="fr-FR"/>
        </w:rPr>
        <w:footnoteReference w:id="14"/>
      </w:r>
      <w:r w:rsidR="00326738">
        <w:rPr>
          <w:rFonts w:eastAsia="Times New Roman" w:cs="Arial"/>
          <w:lang w:val="fr-FR" w:eastAsia="fr-FR"/>
        </w:rPr>
        <w:t>;</w:t>
      </w:r>
    </w:p>
    <w:p w:rsidR="0003340B" w:rsidRPr="00F22613" w:rsidRDefault="00457515" w:rsidP="00F22613">
      <w:pPr>
        <w:pStyle w:val="Paragraphedeliste"/>
        <w:numPr>
          <w:ilvl w:val="0"/>
          <w:numId w:val="4"/>
        </w:numPr>
        <w:spacing w:before="0" w:line="225" w:lineRule="atLeast"/>
        <w:rPr>
          <w:rFonts w:eastAsia="Times New Roman" w:cs="Arial"/>
          <w:lang w:val="fr-FR" w:eastAsia="fr-FR"/>
        </w:rPr>
      </w:pPr>
      <w:r w:rsidRPr="00F22613">
        <w:rPr>
          <w:rFonts w:eastAsia="Times New Roman" w:cs="Arial"/>
          <w:lang w:val="fr-FR" w:eastAsia="fr-FR"/>
        </w:rPr>
        <w:t>lorsqu'il s'ag</w:t>
      </w:r>
      <w:r w:rsidR="007304D0" w:rsidRPr="00F22613">
        <w:rPr>
          <w:rFonts w:eastAsia="Times New Roman" w:cs="Arial"/>
          <w:lang w:val="fr-FR" w:eastAsia="fr-FR"/>
        </w:rPr>
        <w:t>it d'un défaut</w:t>
      </w:r>
      <w:r w:rsidRPr="00F22613">
        <w:rPr>
          <w:rFonts w:eastAsia="Times New Roman" w:cs="Arial"/>
          <w:lang w:val="fr-FR" w:eastAsia="fr-FR"/>
        </w:rPr>
        <w:t xml:space="preserve"> auquel l'acheteur </w:t>
      </w:r>
      <w:r w:rsidR="0018716E" w:rsidRPr="00F22613">
        <w:rPr>
          <w:rFonts w:eastAsia="Times New Roman" w:cs="Arial"/>
          <w:lang w:val="fr-FR" w:eastAsia="fr-FR"/>
        </w:rPr>
        <w:t xml:space="preserve">ou le maître </w:t>
      </w:r>
      <w:r w:rsidRPr="00F22613">
        <w:rPr>
          <w:rFonts w:eastAsia="Times New Roman" w:cs="Arial"/>
          <w:lang w:val="fr-FR" w:eastAsia="fr-FR"/>
        </w:rPr>
        <w:t xml:space="preserve">ne peut de bonne foi pas s'attendre, et qui revêt de </w:t>
      </w:r>
      <w:r w:rsidR="0003340B" w:rsidRPr="00F22613">
        <w:rPr>
          <w:rFonts w:eastAsia="Times New Roman" w:cs="Arial"/>
          <w:lang w:val="fr-FR" w:eastAsia="fr-FR"/>
        </w:rPr>
        <w:t xml:space="preserve">l'importance pour </w:t>
      </w:r>
      <w:r w:rsidR="007C796D" w:rsidRPr="00F22613">
        <w:rPr>
          <w:rFonts w:eastAsia="Times New Roman" w:cs="Arial"/>
          <w:lang w:val="fr-FR" w:eastAsia="fr-FR"/>
        </w:rPr>
        <w:t>lui</w:t>
      </w:r>
      <w:r w:rsidR="0003340B" w:rsidRPr="00EE3B6F">
        <w:rPr>
          <w:rStyle w:val="Appelnotedebasdep"/>
          <w:rFonts w:eastAsia="Times New Roman" w:cs="Arial"/>
          <w:sz w:val="18"/>
          <w:szCs w:val="18"/>
          <w:lang w:val="fr-FR" w:eastAsia="fr-FR"/>
        </w:rPr>
        <w:footnoteReference w:id="15"/>
      </w:r>
      <w:r w:rsidR="00076FCD">
        <w:rPr>
          <w:rFonts w:eastAsia="Times New Roman" w:cs="Arial"/>
          <w:lang w:val="fr-FR" w:eastAsia="fr-FR"/>
        </w:rPr>
        <w:t>, par exemple lorsque la connaissance du défaut aurait conduit l’acheteur à ne pas conclure le contrat ou à le conclure à des conditions différentes de celles convenues</w:t>
      </w:r>
      <w:r w:rsidR="0018716E" w:rsidRPr="00F22613">
        <w:rPr>
          <w:rFonts w:eastAsia="Times New Roman" w:cs="Arial"/>
          <w:lang w:val="fr-FR" w:eastAsia="fr-FR"/>
        </w:rPr>
        <w:t>.</w:t>
      </w:r>
      <w:bookmarkStart w:id="0" w:name="_GoBack"/>
      <w:bookmarkEnd w:id="0"/>
    </w:p>
    <w:p w:rsidR="009118BF" w:rsidRDefault="009118BF" w:rsidP="009118BF">
      <w:pPr>
        <w:spacing w:before="0" w:line="225" w:lineRule="atLeast"/>
        <w:rPr>
          <w:rFonts w:eastAsia="Times New Roman" w:cs="Arial"/>
          <w:lang w:val="fr-FR" w:eastAsia="fr-FR"/>
        </w:rPr>
      </w:pPr>
    </w:p>
    <w:p w:rsidR="00595262" w:rsidRDefault="009118BF" w:rsidP="00595262">
      <w:pPr>
        <w:spacing w:before="0" w:line="225" w:lineRule="atLeast"/>
        <w:ind w:left="0" w:firstLine="0"/>
        <w:rPr>
          <w:rFonts w:eastAsia="Times New Roman" w:cs="Arial"/>
          <w:lang w:val="fr-FR" w:eastAsia="fr-FR"/>
        </w:rPr>
      </w:pPr>
      <w:r w:rsidRPr="009118BF">
        <w:rPr>
          <w:rFonts w:eastAsia="Times New Roman" w:cs="Arial"/>
          <w:lang w:val="fr-FR" w:eastAsia="fr-FR"/>
        </w:rPr>
        <w:t>Le dol éventuel suffit</w:t>
      </w:r>
      <w:r w:rsidRPr="00EE3B6F">
        <w:rPr>
          <w:rStyle w:val="Appelnotedebasdep"/>
          <w:rFonts w:eastAsia="Times New Roman" w:cs="Arial"/>
          <w:sz w:val="18"/>
          <w:szCs w:val="18"/>
          <w:lang w:val="fr-FR" w:eastAsia="fr-FR"/>
        </w:rPr>
        <w:footnoteReference w:id="16"/>
      </w:r>
      <w:r w:rsidRPr="009118BF">
        <w:rPr>
          <w:rFonts w:eastAsia="Times New Roman" w:cs="Arial"/>
          <w:lang w:val="fr-FR" w:eastAsia="fr-FR"/>
        </w:rPr>
        <w:t>. La tromperie intentionnelle sera déjà réalisée si le vendeur ou l’entrepreneur, qui a connaissance du défaut, le tait en envisageant et en acceptant la possibilité que son co</w:t>
      </w:r>
      <w:r w:rsidR="00595262">
        <w:rPr>
          <w:rFonts w:eastAsia="Times New Roman" w:cs="Arial"/>
          <w:lang w:val="fr-FR" w:eastAsia="fr-FR"/>
        </w:rPr>
        <w:t>contractant ne le découvre pas.</w:t>
      </w:r>
    </w:p>
    <w:p w:rsidR="00595262" w:rsidRPr="0018716E" w:rsidRDefault="00595262" w:rsidP="0018716E">
      <w:pPr>
        <w:pStyle w:val="Paragraphedeliste"/>
        <w:ind w:left="0" w:firstLine="0"/>
        <w:rPr>
          <w:rFonts w:eastAsia="Times New Roman" w:cs="Arial"/>
          <w:lang w:val="fr-FR" w:eastAsia="fr-FR"/>
        </w:rPr>
      </w:pPr>
    </w:p>
    <w:p w:rsidR="00595262" w:rsidRDefault="0018716E" w:rsidP="0018716E">
      <w:pPr>
        <w:spacing w:before="0" w:line="225" w:lineRule="atLeast"/>
        <w:ind w:left="0" w:firstLine="0"/>
        <w:rPr>
          <w:rFonts w:eastAsia="Times New Roman" w:cs="Arial"/>
          <w:lang w:val="fr-FR" w:eastAsia="fr-FR"/>
        </w:rPr>
      </w:pPr>
      <w:r w:rsidRPr="0018716E">
        <w:rPr>
          <w:rFonts w:eastAsia="Times New Roman" w:cs="Arial"/>
          <w:lang w:val="fr-FR" w:eastAsia="fr-FR"/>
        </w:rPr>
        <w:t>En revanche, l</w:t>
      </w:r>
      <w:r w:rsidR="00457515" w:rsidRPr="0018716E">
        <w:rPr>
          <w:rFonts w:eastAsia="Times New Roman" w:cs="Arial"/>
          <w:lang w:val="fr-FR" w:eastAsia="fr-FR"/>
        </w:rPr>
        <w:t xml:space="preserve">e vendeur </w:t>
      </w:r>
      <w:r w:rsidR="007C796D">
        <w:rPr>
          <w:rFonts w:eastAsia="Times New Roman" w:cs="Arial"/>
          <w:lang w:val="fr-FR" w:eastAsia="fr-FR"/>
        </w:rPr>
        <w:t>ou</w:t>
      </w:r>
      <w:r w:rsidRPr="0018716E">
        <w:rPr>
          <w:rFonts w:eastAsia="Times New Roman" w:cs="Arial"/>
          <w:lang w:val="fr-FR" w:eastAsia="fr-FR"/>
        </w:rPr>
        <w:t xml:space="preserve"> l’entrepreneur </w:t>
      </w:r>
      <w:r w:rsidR="007C796D">
        <w:rPr>
          <w:rFonts w:eastAsia="Times New Roman" w:cs="Arial"/>
          <w:lang w:val="fr-FR" w:eastAsia="fr-FR"/>
        </w:rPr>
        <w:t>es</w:t>
      </w:r>
      <w:r w:rsidR="00457515" w:rsidRPr="0018716E">
        <w:rPr>
          <w:rFonts w:eastAsia="Times New Roman" w:cs="Arial"/>
          <w:lang w:val="fr-FR" w:eastAsia="fr-FR"/>
        </w:rPr>
        <w:t xml:space="preserve">t dispensé d'informer </w:t>
      </w:r>
      <w:r w:rsidR="007C796D">
        <w:rPr>
          <w:rFonts w:eastAsia="Times New Roman" w:cs="Arial"/>
          <w:lang w:val="fr-FR" w:eastAsia="fr-FR"/>
        </w:rPr>
        <w:t>son</w:t>
      </w:r>
      <w:r w:rsidRPr="0018716E">
        <w:rPr>
          <w:rFonts w:eastAsia="Times New Roman" w:cs="Arial"/>
          <w:lang w:val="fr-FR" w:eastAsia="fr-FR"/>
        </w:rPr>
        <w:t xml:space="preserve"> cocontractant </w:t>
      </w:r>
      <w:r w:rsidR="00457515" w:rsidRPr="0018716E">
        <w:rPr>
          <w:rFonts w:eastAsia="Times New Roman" w:cs="Arial"/>
          <w:lang w:val="fr-FR" w:eastAsia="fr-FR"/>
        </w:rPr>
        <w:t>lorsqu'il peut de bonne foi partir d</w:t>
      </w:r>
      <w:r w:rsidRPr="0018716E">
        <w:rPr>
          <w:rFonts w:eastAsia="Times New Roman" w:cs="Arial"/>
          <w:lang w:val="fr-FR" w:eastAsia="fr-FR"/>
        </w:rPr>
        <w:t xml:space="preserve">e l’idée </w:t>
      </w:r>
      <w:r w:rsidR="00457515" w:rsidRPr="0018716E">
        <w:rPr>
          <w:rFonts w:eastAsia="Times New Roman" w:cs="Arial"/>
          <w:lang w:val="fr-FR" w:eastAsia="fr-FR"/>
        </w:rPr>
        <w:t xml:space="preserve">que </w:t>
      </w:r>
      <w:r w:rsidRPr="0018716E">
        <w:rPr>
          <w:rFonts w:eastAsia="Times New Roman" w:cs="Arial"/>
          <w:lang w:val="fr-FR" w:eastAsia="fr-FR"/>
        </w:rPr>
        <w:t xml:space="preserve">ce dernier </w:t>
      </w:r>
      <w:r w:rsidR="00457515" w:rsidRPr="0018716E">
        <w:rPr>
          <w:rFonts w:eastAsia="Times New Roman" w:cs="Arial"/>
          <w:lang w:val="fr-FR" w:eastAsia="fr-FR"/>
        </w:rPr>
        <w:t>va s'informer lui-même</w:t>
      </w:r>
      <w:r w:rsidR="007304D0">
        <w:rPr>
          <w:rFonts w:eastAsia="Times New Roman" w:cs="Arial"/>
          <w:lang w:val="fr-FR" w:eastAsia="fr-FR"/>
        </w:rPr>
        <w:t xml:space="preserve">, </w:t>
      </w:r>
      <w:r w:rsidR="00457515" w:rsidRPr="0018716E">
        <w:rPr>
          <w:rFonts w:eastAsia="Times New Roman" w:cs="Arial"/>
          <w:lang w:val="fr-FR" w:eastAsia="fr-FR"/>
        </w:rPr>
        <w:t xml:space="preserve">qu'il va découvrir </w:t>
      </w:r>
      <w:r w:rsidR="007304D0" w:rsidRPr="0018716E">
        <w:rPr>
          <w:rFonts w:eastAsia="Times New Roman" w:cs="Arial"/>
          <w:lang w:val="fr-FR" w:eastAsia="fr-FR"/>
        </w:rPr>
        <w:t xml:space="preserve">sans autre </w:t>
      </w:r>
      <w:r w:rsidR="00457515" w:rsidRPr="0018716E">
        <w:rPr>
          <w:rFonts w:eastAsia="Times New Roman" w:cs="Arial"/>
          <w:lang w:val="fr-FR" w:eastAsia="fr-FR"/>
        </w:rPr>
        <w:t>le défaut, sans difficultés</w:t>
      </w:r>
      <w:r w:rsidR="0003340B" w:rsidRPr="00EE3B6F">
        <w:rPr>
          <w:rStyle w:val="Appelnotedebasdep"/>
          <w:rFonts w:eastAsia="Times New Roman" w:cs="Arial"/>
          <w:sz w:val="18"/>
          <w:szCs w:val="18"/>
          <w:lang w:val="fr-FR" w:eastAsia="fr-FR"/>
        </w:rPr>
        <w:footnoteReference w:id="17"/>
      </w:r>
      <w:r w:rsidR="0003340B" w:rsidRPr="0018716E">
        <w:rPr>
          <w:rFonts w:eastAsia="Times New Roman" w:cs="Arial"/>
          <w:lang w:val="fr-FR" w:eastAsia="fr-FR"/>
        </w:rPr>
        <w:t>. T</w:t>
      </w:r>
      <w:r w:rsidR="007304D0">
        <w:rPr>
          <w:rFonts w:eastAsia="Times New Roman" w:cs="Arial"/>
          <w:lang w:val="fr-FR" w:eastAsia="fr-FR"/>
        </w:rPr>
        <w:t>el est</w:t>
      </w:r>
      <w:r w:rsidR="00457515" w:rsidRPr="0018716E">
        <w:rPr>
          <w:rFonts w:eastAsia="Times New Roman" w:cs="Arial"/>
          <w:lang w:val="fr-FR" w:eastAsia="fr-FR"/>
        </w:rPr>
        <w:t xml:space="preserve"> le cas lorsque l'acheteur </w:t>
      </w:r>
      <w:r w:rsidRPr="0018716E">
        <w:rPr>
          <w:rFonts w:eastAsia="Times New Roman" w:cs="Arial"/>
          <w:lang w:val="fr-FR" w:eastAsia="fr-FR"/>
        </w:rPr>
        <w:t xml:space="preserve">ou le maître </w:t>
      </w:r>
      <w:r w:rsidR="00457515" w:rsidRPr="0018716E">
        <w:rPr>
          <w:rFonts w:eastAsia="Times New Roman" w:cs="Arial"/>
          <w:lang w:val="fr-FR" w:eastAsia="fr-FR"/>
        </w:rPr>
        <w:t xml:space="preserve">devrait découvrir </w:t>
      </w:r>
      <w:r w:rsidR="0003340B" w:rsidRPr="0018716E">
        <w:rPr>
          <w:rFonts w:eastAsia="Times New Roman" w:cs="Arial"/>
          <w:lang w:val="fr-FR" w:eastAsia="fr-FR"/>
        </w:rPr>
        <w:t xml:space="preserve">le défaut </w:t>
      </w:r>
      <w:r w:rsidR="00F22613">
        <w:rPr>
          <w:rFonts w:eastAsia="Times New Roman" w:cs="Arial"/>
          <w:lang w:val="fr-FR" w:eastAsia="fr-FR"/>
        </w:rPr>
        <w:t>sans peine</w:t>
      </w:r>
      <w:r w:rsidR="00A65327">
        <w:rPr>
          <w:rFonts w:eastAsia="Times New Roman" w:cs="Arial"/>
          <w:lang w:val="fr-FR" w:eastAsia="fr-FR"/>
        </w:rPr>
        <w:t>,</w:t>
      </w:r>
      <w:r w:rsidR="00F22613">
        <w:rPr>
          <w:rFonts w:eastAsia="Times New Roman" w:cs="Arial"/>
          <w:lang w:val="fr-FR" w:eastAsia="fr-FR"/>
        </w:rPr>
        <w:t xml:space="preserve"> </w:t>
      </w:r>
      <w:r w:rsidR="00457515" w:rsidRPr="0018716E">
        <w:rPr>
          <w:rFonts w:eastAsia="Times New Roman" w:cs="Arial"/>
          <w:lang w:val="fr-FR" w:eastAsia="fr-FR"/>
        </w:rPr>
        <w:t>en faisant preuve de l'attention c</w:t>
      </w:r>
      <w:r>
        <w:rPr>
          <w:rFonts w:eastAsia="Times New Roman" w:cs="Arial"/>
          <w:lang w:val="fr-FR" w:eastAsia="fr-FR"/>
        </w:rPr>
        <w:t>ommandée par les circonstances.</w:t>
      </w:r>
      <w:r w:rsidR="009118BF">
        <w:rPr>
          <w:rFonts w:eastAsia="Times New Roman" w:cs="Arial"/>
          <w:lang w:val="fr-FR" w:eastAsia="fr-FR"/>
        </w:rPr>
        <w:t xml:space="preserve"> </w:t>
      </w:r>
      <w:r w:rsidR="00595262">
        <w:rPr>
          <w:rFonts w:eastAsia="Times New Roman" w:cs="Arial"/>
          <w:lang w:val="fr-FR" w:eastAsia="fr-FR"/>
        </w:rPr>
        <w:t>Toutefois, d</w:t>
      </w:r>
      <w:r w:rsidR="00595262" w:rsidRPr="009600A2">
        <w:rPr>
          <w:rFonts w:eastAsia="Times New Roman" w:cs="Arial"/>
          <w:lang w:val="fr-FR" w:eastAsia="fr-FR"/>
        </w:rPr>
        <w:t xml:space="preserve">ans l'hypothèse où le vendeur </w:t>
      </w:r>
      <w:r w:rsidR="00595262">
        <w:rPr>
          <w:rFonts w:eastAsia="Times New Roman" w:cs="Arial"/>
          <w:lang w:val="fr-FR" w:eastAsia="fr-FR"/>
        </w:rPr>
        <w:t xml:space="preserve">ou entrepreneur </w:t>
      </w:r>
      <w:r w:rsidR="00595262" w:rsidRPr="009600A2">
        <w:rPr>
          <w:rFonts w:eastAsia="Times New Roman" w:cs="Arial"/>
          <w:lang w:val="fr-FR" w:eastAsia="fr-FR"/>
        </w:rPr>
        <w:t>tait une information dont il ne peut ignorer l'importance pour l'</w:t>
      </w:r>
      <w:r w:rsidR="00595262">
        <w:rPr>
          <w:rFonts w:eastAsia="Times New Roman" w:cs="Arial"/>
          <w:lang w:val="fr-FR" w:eastAsia="fr-FR"/>
        </w:rPr>
        <w:t>autre partie</w:t>
      </w:r>
      <w:r w:rsidR="00595262" w:rsidRPr="009600A2">
        <w:rPr>
          <w:rFonts w:eastAsia="Times New Roman" w:cs="Arial"/>
          <w:lang w:val="fr-FR" w:eastAsia="fr-FR"/>
        </w:rPr>
        <w:t xml:space="preserve">, il doit avoir de bonnes raisons de penser que </w:t>
      </w:r>
      <w:r w:rsidR="00595262">
        <w:rPr>
          <w:rFonts w:eastAsia="Times New Roman" w:cs="Arial"/>
          <w:lang w:val="fr-FR" w:eastAsia="fr-FR"/>
        </w:rPr>
        <w:t xml:space="preserve">celle-ci </w:t>
      </w:r>
      <w:r w:rsidR="00595262" w:rsidRPr="009600A2">
        <w:rPr>
          <w:rFonts w:eastAsia="Times New Roman" w:cs="Arial"/>
          <w:lang w:val="fr-FR" w:eastAsia="fr-FR"/>
        </w:rPr>
        <w:t xml:space="preserve">reconnaîtra le défaut par </w:t>
      </w:r>
      <w:r w:rsidR="00595262">
        <w:rPr>
          <w:rFonts w:eastAsia="Times New Roman" w:cs="Arial"/>
          <w:lang w:val="fr-FR" w:eastAsia="fr-FR"/>
        </w:rPr>
        <w:t>elle</w:t>
      </w:r>
      <w:r w:rsidR="00595262" w:rsidRPr="009600A2">
        <w:rPr>
          <w:rFonts w:eastAsia="Times New Roman" w:cs="Arial"/>
          <w:lang w:val="fr-FR" w:eastAsia="fr-FR"/>
        </w:rPr>
        <w:t xml:space="preserve">-même. </w:t>
      </w:r>
      <w:r w:rsidR="00595262">
        <w:rPr>
          <w:rFonts w:eastAsia="Times New Roman" w:cs="Arial"/>
          <w:lang w:val="fr-FR" w:eastAsia="fr-FR"/>
        </w:rPr>
        <w:t xml:space="preserve">Comme le dit le Tribunal fédéral, </w:t>
      </w:r>
      <w:r w:rsidR="00595262" w:rsidRPr="00595262">
        <w:rPr>
          <w:rFonts w:eastAsia="Times New Roman" w:cs="Arial"/>
          <w:i/>
          <w:lang w:val="fr-FR" w:eastAsia="fr-FR"/>
        </w:rPr>
        <w:t>« il s'agit en somme d'apprécier si le manque de diligence de l'acheteur face à un défaut reconnaissable est plus grave que le silence du vendeur et justifie d'exempter celui-ci de sa responsabilité pour les défauts »</w:t>
      </w:r>
      <w:r w:rsidR="00595262" w:rsidRPr="00595262">
        <w:rPr>
          <w:rStyle w:val="Appelnotedebasdep"/>
          <w:rFonts w:eastAsia="Times New Roman" w:cs="Arial"/>
          <w:sz w:val="18"/>
          <w:szCs w:val="18"/>
          <w:lang w:val="fr-FR" w:eastAsia="fr-FR"/>
        </w:rPr>
        <w:footnoteReference w:id="18"/>
      </w:r>
      <w:r w:rsidR="00595262" w:rsidRPr="009600A2">
        <w:rPr>
          <w:rFonts w:eastAsia="Times New Roman" w:cs="Arial"/>
          <w:lang w:val="fr-FR" w:eastAsia="fr-FR"/>
        </w:rPr>
        <w:t>.</w:t>
      </w:r>
    </w:p>
    <w:p w:rsidR="00595262" w:rsidRDefault="00595262" w:rsidP="0018716E">
      <w:pPr>
        <w:spacing w:before="0" w:line="225" w:lineRule="atLeast"/>
        <w:ind w:left="0" w:firstLine="0"/>
        <w:rPr>
          <w:rFonts w:eastAsia="Times New Roman" w:cs="Arial"/>
          <w:lang w:val="fr-FR" w:eastAsia="fr-FR"/>
        </w:rPr>
      </w:pPr>
    </w:p>
    <w:p w:rsidR="00595262" w:rsidRPr="0018716E" w:rsidRDefault="00457515" w:rsidP="0018716E">
      <w:pPr>
        <w:spacing w:before="0" w:line="225" w:lineRule="atLeast"/>
        <w:ind w:left="0" w:firstLine="0"/>
        <w:rPr>
          <w:rFonts w:eastAsia="Times New Roman" w:cs="Arial"/>
          <w:lang w:val="fr-FR" w:eastAsia="fr-FR"/>
        </w:rPr>
      </w:pPr>
      <w:r w:rsidRPr="0018716E">
        <w:rPr>
          <w:rFonts w:eastAsia="Times New Roman" w:cs="Arial"/>
          <w:lang w:val="fr-FR" w:eastAsia="fr-FR"/>
        </w:rPr>
        <w:t xml:space="preserve">Ceci dit, la doctrine dominante soutient, en </w:t>
      </w:r>
      <w:r w:rsidR="007304D0">
        <w:rPr>
          <w:rFonts w:eastAsia="Times New Roman" w:cs="Arial"/>
          <w:lang w:val="fr-FR" w:eastAsia="fr-FR"/>
        </w:rPr>
        <w:t>s'appuyant sur un arrêt ancien</w:t>
      </w:r>
      <w:r w:rsidRPr="0018716E">
        <w:rPr>
          <w:rFonts w:eastAsia="Times New Roman" w:cs="Arial"/>
          <w:lang w:val="fr-FR" w:eastAsia="fr-FR"/>
        </w:rPr>
        <w:t xml:space="preserve">, que le vendeur agissant de manière dolosive ne </w:t>
      </w:r>
      <w:r w:rsidR="00F22613">
        <w:rPr>
          <w:rFonts w:eastAsia="Times New Roman" w:cs="Arial"/>
          <w:lang w:val="fr-FR" w:eastAsia="fr-FR"/>
        </w:rPr>
        <w:t>peut</w:t>
      </w:r>
      <w:r w:rsidRPr="0018716E">
        <w:rPr>
          <w:rFonts w:eastAsia="Times New Roman" w:cs="Arial"/>
          <w:lang w:val="fr-FR" w:eastAsia="fr-FR"/>
        </w:rPr>
        <w:t xml:space="preserve"> pas se prévaloir de la négligence de l'acheteur</w:t>
      </w:r>
      <w:r w:rsidR="007304D0" w:rsidRPr="00F22613">
        <w:rPr>
          <w:rStyle w:val="Appelnotedebasdep"/>
          <w:rFonts w:eastAsia="Times New Roman" w:cs="Arial"/>
          <w:sz w:val="18"/>
          <w:szCs w:val="18"/>
          <w:lang w:val="fr-FR" w:eastAsia="fr-FR"/>
        </w:rPr>
        <w:footnoteReference w:id="19"/>
      </w:r>
      <w:r w:rsidR="007304D0">
        <w:rPr>
          <w:rFonts w:eastAsia="Times New Roman" w:cs="Arial"/>
          <w:lang w:val="fr-FR" w:eastAsia="fr-FR"/>
        </w:rPr>
        <w:t>.</w:t>
      </w:r>
      <w:r w:rsidRPr="0018716E">
        <w:rPr>
          <w:rFonts w:eastAsia="Times New Roman" w:cs="Arial"/>
          <w:lang w:val="fr-FR" w:eastAsia="fr-FR"/>
        </w:rPr>
        <w:t xml:space="preserve"> </w:t>
      </w:r>
      <w:r w:rsidR="00F22613">
        <w:rPr>
          <w:rFonts w:eastAsia="Times New Roman" w:cs="Arial"/>
          <w:lang w:val="fr-FR" w:eastAsia="fr-FR"/>
        </w:rPr>
        <w:t>Le Tribunal fédéral par</w:t>
      </w:r>
      <w:r w:rsidR="00595262">
        <w:rPr>
          <w:rFonts w:eastAsia="Times New Roman" w:cs="Arial"/>
          <w:lang w:val="fr-FR" w:eastAsia="fr-FR"/>
        </w:rPr>
        <w:t>tage</w:t>
      </w:r>
      <w:r w:rsidR="00F22613">
        <w:rPr>
          <w:rFonts w:eastAsia="Times New Roman" w:cs="Arial"/>
          <w:lang w:val="fr-FR" w:eastAsia="fr-FR"/>
        </w:rPr>
        <w:t xml:space="preserve"> également cet avis. </w:t>
      </w:r>
      <w:r w:rsidR="0089335E">
        <w:rPr>
          <w:rFonts w:eastAsia="Times New Roman" w:cs="Arial"/>
          <w:lang w:val="fr-FR" w:eastAsia="fr-FR"/>
        </w:rPr>
        <w:t>Selon lui, est</w:t>
      </w:r>
      <w:r w:rsidRPr="0018716E">
        <w:rPr>
          <w:rFonts w:eastAsia="Times New Roman" w:cs="Arial"/>
          <w:lang w:val="fr-FR" w:eastAsia="fr-FR"/>
        </w:rPr>
        <w:t xml:space="preserve"> décisive la question de savoir si le vendeur, dans les circonstances concrètes, est autorisé à supposer que l'achet</w:t>
      </w:r>
      <w:r w:rsidR="00A65327">
        <w:rPr>
          <w:rFonts w:eastAsia="Times New Roman" w:cs="Arial"/>
          <w:lang w:val="fr-FR" w:eastAsia="fr-FR"/>
        </w:rPr>
        <w:t>eur découvrira le défaut</w:t>
      </w:r>
      <w:r w:rsidR="00595262" w:rsidRPr="0089335E">
        <w:rPr>
          <w:rStyle w:val="Appelnotedebasdep"/>
          <w:rFonts w:eastAsia="Times New Roman" w:cs="Arial"/>
          <w:sz w:val="18"/>
          <w:szCs w:val="18"/>
          <w:lang w:val="fr-FR" w:eastAsia="fr-FR"/>
        </w:rPr>
        <w:footnoteReference w:id="20"/>
      </w:r>
      <w:r w:rsidR="00595262" w:rsidRPr="009600A2">
        <w:rPr>
          <w:rFonts w:eastAsia="Times New Roman" w:cs="Arial"/>
          <w:lang w:val="fr-FR" w:eastAsia="fr-FR"/>
        </w:rPr>
        <w:t>.</w:t>
      </w:r>
    </w:p>
    <w:p w:rsidR="00A13224" w:rsidRPr="0018716E" w:rsidRDefault="00A13224" w:rsidP="006C7CD6">
      <w:pPr>
        <w:spacing w:before="0" w:line="225" w:lineRule="atLeast"/>
        <w:jc w:val="left"/>
        <w:rPr>
          <w:rFonts w:eastAsia="Times New Roman" w:cs="Arial"/>
          <w:lang w:val="fr-FR" w:eastAsia="fr-FR"/>
        </w:rPr>
      </w:pPr>
    </w:p>
    <w:p w:rsidR="00A13224" w:rsidRPr="00A65327" w:rsidRDefault="00A65327" w:rsidP="00A65327">
      <w:pPr>
        <w:spacing w:before="0" w:line="225" w:lineRule="atLeast"/>
        <w:ind w:left="426" w:hanging="426"/>
        <w:rPr>
          <w:rFonts w:eastAsia="Times New Roman" w:cs="Arial"/>
          <w:b/>
          <w:lang w:val="fr-FR" w:eastAsia="fr-FR"/>
        </w:rPr>
      </w:pPr>
      <w:r w:rsidRPr="00A65327">
        <w:rPr>
          <w:rFonts w:eastAsia="Times New Roman" w:cs="Arial"/>
          <w:b/>
          <w:lang w:val="fr-FR" w:eastAsia="fr-FR"/>
        </w:rPr>
        <w:t>5.</w:t>
      </w:r>
      <w:r w:rsidR="009600A2" w:rsidRPr="00A65327">
        <w:rPr>
          <w:rFonts w:eastAsia="Times New Roman" w:cs="Arial"/>
          <w:b/>
          <w:lang w:val="fr-FR" w:eastAsia="fr-FR"/>
        </w:rPr>
        <w:tab/>
      </w:r>
      <w:r w:rsidRPr="00A65327">
        <w:rPr>
          <w:rFonts w:eastAsia="Times New Roman" w:cs="Arial"/>
          <w:b/>
          <w:lang w:val="fr-FR" w:eastAsia="fr-FR"/>
        </w:rPr>
        <w:t>L’acheteur ou le maître ignore le défaut et ne peut le découvrir en faisant preuve de l'attention commandée par les circonstances</w:t>
      </w:r>
    </w:p>
    <w:p w:rsidR="004F057D" w:rsidRPr="0018716E" w:rsidRDefault="004F057D" w:rsidP="00EA4F02">
      <w:pPr>
        <w:spacing w:line="225" w:lineRule="atLeast"/>
        <w:ind w:left="0" w:firstLine="0"/>
        <w:jc w:val="left"/>
        <w:rPr>
          <w:rFonts w:eastAsia="Times New Roman" w:cs="Arial"/>
          <w:lang w:val="fr-FR" w:eastAsia="fr-FR"/>
        </w:rPr>
      </w:pPr>
    </w:p>
    <w:p w:rsidR="004F057D" w:rsidRPr="0018716E" w:rsidRDefault="004F057D" w:rsidP="0018716E">
      <w:pPr>
        <w:spacing w:line="225" w:lineRule="atLeast"/>
        <w:ind w:left="0" w:firstLine="0"/>
        <w:rPr>
          <w:rFonts w:eastAsia="Times New Roman" w:cs="Arial"/>
          <w:lang w:val="fr-FR" w:eastAsia="fr-FR"/>
        </w:rPr>
      </w:pPr>
      <w:r w:rsidRPr="0018716E">
        <w:rPr>
          <w:rFonts w:eastAsia="Times New Roman" w:cs="Arial"/>
          <w:lang w:val="fr-FR" w:eastAsia="fr-FR"/>
        </w:rPr>
        <w:t xml:space="preserve">Selon l’article 200 CO, le vendeur ne répond pas des défauts que l'acheteur connaissait au moment de la vente (al. 1). Il ne répond pas non plus des défauts dont l'acheteur aurait dû s'apercevoir lui-même en examinant la chose avec une attention suffisante, sauf s'il lui a affirmé qu'ils n'existaient pas (al. 2). La responsabilité du vendeur n'est donc pas engagée si l'acheteur connaissait le défaut ou aurait pu et dû le connaître. </w:t>
      </w:r>
      <w:r w:rsidR="007146AB">
        <w:rPr>
          <w:rFonts w:eastAsia="Times New Roman" w:cs="Arial"/>
          <w:lang w:val="fr-FR" w:eastAsia="fr-FR"/>
        </w:rPr>
        <w:t>On trouve une</w:t>
      </w:r>
      <w:r w:rsidR="00EA4F02">
        <w:rPr>
          <w:rFonts w:eastAsia="Times New Roman" w:cs="Arial"/>
          <w:lang w:val="fr-FR" w:eastAsia="fr-FR"/>
        </w:rPr>
        <w:t xml:space="preserve"> règle similaire dans le contrat d’entreprise (art. 370 al. 1 CO).</w:t>
      </w:r>
    </w:p>
    <w:p w:rsidR="004F057D" w:rsidRPr="0018716E" w:rsidRDefault="004F057D" w:rsidP="0018716E">
      <w:pPr>
        <w:spacing w:line="225" w:lineRule="atLeast"/>
        <w:ind w:left="0" w:firstLine="0"/>
        <w:rPr>
          <w:rFonts w:eastAsia="Times New Roman" w:cs="Arial"/>
          <w:lang w:val="fr-FR" w:eastAsia="fr-FR"/>
        </w:rPr>
      </w:pPr>
    </w:p>
    <w:p w:rsidR="00457515" w:rsidRPr="0018716E" w:rsidRDefault="007146AB" w:rsidP="0018716E">
      <w:pPr>
        <w:spacing w:line="225" w:lineRule="atLeast"/>
        <w:ind w:left="0" w:firstLine="0"/>
        <w:rPr>
          <w:rFonts w:eastAsia="Times New Roman" w:cs="Arial"/>
          <w:lang w:val="fr-FR" w:eastAsia="fr-FR"/>
        </w:rPr>
      </w:pPr>
      <w:r>
        <w:rPr>
          <w:rFonts w:eastAsia="Times New Roman" w:cs="Arial"/>
          <w:lang w:val="fr-FR" w:eastAsia="fr-FR"/>
        </w:rPr>
        <w:t>Si l’acheteur ou le maître connait le défaut, respectivement devrait le connaître en procédant à une vérification régulière de la chose qui lui est vendue ou livrée, i</w:t>
      </w:r>
      <w:r w:rsidR="004F057D" w:rsidRPr="0018716E">
        <w:rPr>
          <w:rFonts w:eastAsia="Times New Roman" w:cs="Arial"/>
          <w:lang w:val="fr-FR" w:eastAsia="fr-FR"/>
        </w:rPr>
        <w:t>l n</w:t>
      </w:r>
      <w:r>
        <w:rPr>
          <w:rFonts w:eastAsia="Times New Roman" w:cs="Arial"/>
          <w:lang w:val="fr-FR" w:eastAsia="fr-FR"/>
        </w:rPr>
        <w:t>e peut y avoir dissimulation frauduleuse du défaut</w:t>
      </w:r>
      <w:r w:rsidR="00DA76A9">
        <w:rPr>
          <w:rFonts w:eastAsia="Times New Roman" w:cs="Arial"/>
          <w:lang w:val="fr-FR" w:eastAsia="fr-FR"/>
        </w:rPr>
        <w:t xml:space="preserve"> et l’on ne peut reprocher au vendeur ou à l’entrepreneur d’avoir omis d’informer son cocontractant sur l’existence du défaut</w:t>
      </w:r>
      <w:r>
        <w:rPr>
          <w:rFonts w:eastAsia="Times New Roman" w:cs="Arial"/>
          <w:lang w:val="fr-FR" w:eastAsia="fr-FR"/>
        </w:rPr>
        <w:t xml:space="preserve">. </w:t>
      </w:r>
      <w:r w:rsidR="008827BF">
        <w:rPr>
          <w:rFonts w:eastAsia="Times New Roman" w:cs="Arial"/>
          <w:lang w:val="fr-FR" w:eastAsia="fr-FR"/>
        </w:rPr>
        <w:t>Dans ce cas de figure</w:t>
      </w:r>
      <w:r w:rsidR="00DA76A9">
        <w:rPr>
          <w:rFonts w:eastAsia="Times New Roman" w:cs="Arial"/>
          <w:lang w:val="fr-FR" w:eastAsia="fr-FR"/>
        </w:rPr>
        <w:t>, i</w:t>
      </w:r>
      <w:r>
        <w:rPr>
          <w:rFonts w:eastAsia="Times New Roman" w:cs="Arial"/>
          <w:lang w:val="fr-FR" w:eastAsia="fr-FR"/>
        </w:rPr>
        <w:t xml:space="preserve">l n’y a </w:t>
      </w:r>
      <w:r w:rsidR="008827BF">
        <w:rPr>
          <w:rFonts w:eastAsia="Times New Roman" w:cs="Arial"/>
          <w:lang w:val="fr-FR" w:eastAsia="fr-FR"/>
        </w:rPr>
        <w:t xml:space="preserve">au demeurant </w:t>
      </w:r>
      <w:r>
        <w:rPr>
          <w:rFonts w:eastAsia="Times New Roman" w:cs="Arial"/>
          <w:lang w:val="fr-FR" w:eastAsia="fr-FR"/>
        </w:rPr>
        <w:t xml:space="preserve">même pas de </w:t>
      </w:r>
      <w:r w:rsidR="004F057D" w:rsidRPr="0018716E">
        <w:rPr>
          <w:rFonts w:eastAsia="Times New Roman" w:cs="Arial"/>
          <w:lang w:val="fr-FR" w:eastAsia="fr-FR"/>
        </w:rPr>
        <w:t>défaut</w:t>
      </w:r>
      <w:r w:rsidR="00DA76A9">
        <w:rPr>
          <w:rFonts w:eastAsia="Times New Roman" w:cs="Arial"/>
          <w:lang w:val="fr-FR" w:eastAsia="fr-FR"/>
        </w:rPr>
        <w:t xml:space="preserve"> à proprement parler</w:t>
      </w:r>
      <w:r w:rsidR="004F057D" w:rsidRPr="0018716E">
        <w:rPr>
          <w:rFonts w:eastAsia="Times New Roman" w:cs="Arial"/>
          <w:lang w:val="fr-FR" w:eastAsia="fr-FR"/>
        </w:rPr>
        <w:t>,</w:t>
      </w:r>
      <w:r w:rsidR="00DA76A9">
        <w:rPr>
          <w:rFonts w:eastAsia="Times New Roman" w:cs="Arial"/>
          <w:lang w:val="fr-FR" w:eastAsia="fr-FR"/>
        </w:rPr>
        <w:t xml:space="preserve"> dans la mesure où l'acheteur</w:t>
      </w:r>
      <w:r w:rsidR="004F057D" w:rsidRPr="0018716E">
        <w:rPr>
          <w:rFonts w:eastAsia="Times New Roman" w:cs="Arial"/>
          <w:lang w:val="fr-FR" w:eastAsia="fr-FR"/>
        </w:rPr>
        <w:t xml:space="preserve"> connaît </w:t>
      </w:r>
      <w:r w:rsidR="00DA76A9">
        <w:rPr>
          <w:rFonts w:eastAsia="Times New Roman" w:cs="Arial"/>
          <w:lang w:val="fr-FR" w:eastAsia="fr-FR"/>
        </w:rPr>
        <w:t xml:space="preserve">le défaut </w:t>
      </w:r>
      <w:r>
        <w:rPr>
          <w:rFonts w:eastAsia="Times New Roman" w:cs="Arial"/>
          <w:lang w:val="fr-FR" w:eastAsia="fr-FR"/>
        </w:rPr>
        <w:t>–</w:t>
      </w:r>
      <w:r w:rsidR="004F057D" w:rsidRPr="0018716E">
        <w:rPr>
          <w:rFonts w:eastAsia="Times New Roman" w:cs="Arial"/>
          <w:lang w:val="fr-FR" w:eastAsia="fr-FR"/>
        </w:rPr>
        <w:t xml:space="preserve"> ou devrait le connaître </w:t>
      </w:r>
      <w:r>
        <w:rPr>
          <w:rFonts w:eastAsia="Times New Roman" w:cs="Arial"/>
          <w:lang w:val="fr-FR" w:eastAsia="fr-FR"/>
        </w:rPr>
        <w:t>–</w:t>
      </w:r>
      <w:r w:rsidR="00161BD9">
        <w:rPr>
          <w:rFonts w:eastAsia="Times New Roman" w:cs="Arial"/>
          <w:lang w:val="fr-FR" w:eastAsia="fr-FR"/>
        </w:rPr>
        <w:t xml:space="preserve"> et l'accepte sans réserve</w:t>
      </w:r>
      <w:r w:rsidR="00161BD9" w:rsidRPr="00161BD9">
        <w:rPr>
          <w:rStyle w:val="Appelnotedebasdep"/>
          <w:rFonts w:eastAsia="Times New Roman" w:cs="Arial"/>
          <w:sz w:val="18"/>
          <w:szCs w:val="18"/>
          <w:lang w:val="fr-FR" w:eastAsia="fr-FR"/>
        </w:rPr>
        <w:footnoteReference w:id="21"/>
      </w:r>
      <w:r w:rsidR="004F057D" w:rsidRPr="0018716E">
        <w:rPr>
          <w:rFonts w:eastAsia="Times New Roman" w:cs="Arial"/>
          <w:lang w:val="fr-FR" w:eastAsia="fr-FR"/>
        </w:rPr>
        <w:t>.</w:t>
      </w:r>
    </w:p>
    <w:p w:rsidR="00457515" w:rsidRPr="0018716E" w:rsidRDefault="00457515" w:rsidP="0018716E">
      <w:pPr>
        <w:spacing w:line="225" w:lineRule="atLeast"/>
        <w:ind w:left="0" w:firstLine="0"/>
        <w:rPr>
          <w:rFonts w:eastAsia="Times New Roman" w:cs="Arial"/>
          <w:lang w:val="fr-FR" w:eastAsia="fr-FR"/>
        </w:rPr>
      </w:pPr>
    </w:p>
    <w:p w:rsidR="004F057D" w:rsidRPr="0018716E" w:rsidRDefault="00457515" w:rsidP="0018716E">
      <w:pPr>
        <w:spacing w:line="225" w:lineRule="atLeast"/>
        <w:ind w:left="0" w:firstLine="0"/>
        <w:rPr>
          <w:rFonts w:eastAsia="Times New Roman" w:cs="Arial"/>
          <w:lang w:val="fr-FR" w:eastAsia="fr-FR"/>
        </w:rPr>
      </w:pPr>
      <w:r w:rsidRPr="0018716E">
        <w:rPr>
          <w:rFonts w:eastAsia="Times New Roman" w:cs="Arial"/>
          <w:lang w:val="fr-FR" w:eastAsia="fr-FR"/>
        </w:rPr>
        <w:t xml:space="preserve">Il appartient au vendeur </w:t>
      </w:r>
      <w:r w:rsidR="00DA76A9">
        <w:rPr>
          <w:rFonts w:eastAsia="Times New Roman" w:cs="Arial"/>
          <w:lang w:val="fr-FR" w:eastAsia="fr-FR"/>
        </w:rPr>
        <w:t xml:space="preserve">et à l’entrepreneur </w:t>
      </w:r>
      <w:r w:rsidRPr="0018716E">
        <w:rPr>
          <w:rFonts w:eastAsia="Times New Roman" w:cs="Arial"/>
          <w:lang w:val="fr-FR" w:eastAsia="fr-FR"/>
        </w:rPr>
        <w:t xml:space="preserve">de prouver que </w:t>
      </w:r>
      <w:r w:rsidR="008827BF">
        <w:rPr>
          <w:rFonts w:eastAsia="Times New Roman" w:cs="Arial"/>
          <w:lang w:val="fr-FR" w:eastAsia="fr-FR"/>
        </w:rPr>
        <w:t>l’acheteur, respectivement le maître, connaissait ou aurait dû connaître le défaut au moment du transfert des risques, respectivement au moment de la livraison</w:t>
      </w:r>
      <w:r w:rsidRPr="00EE3B6F">
        <w:rPr>
          <w:rStyle w:val="Appelnotedebasdep"/>
          <w:rFonts w:eastAsia="Times New Roman" w:cs="Arial"/>
          <w:sz w:val="18"/>
          <w:szCs w:val="18"/>
          <w:lang w:val="fr-FR" w:eastAsia="fr-FR"/>
        </w:rPr>
        <w:footnoteReference w:id="22"/>
      </w:r>
      <w:r w:rsidRPr="0018716E">
        <w:rPr>
          <w:rFonts w:eastAsia="Times New Roman" w:cs="Arial"/>
          <w:lang w:val="fr-FR" w:eastAsia="fr-FR"/>
        </w:rPr>
        <w:t xml:space="preserve">. </w:t>
      </w:r>
      <w:r w:rsidR="00AF44A7" w:rsidRPr="009600A2">
        <w:rPr>
          <w:rFonts w:eastAsia="Times New Roman" w:cs="Arial"/>
          <w:lang w:val="fr-FR" w:eastAsia="fr-FR"/>
        </w:rPr>
        <w:t xml:space="preserve">Le juge doit acquérir la certitude que l'acheteur </w:t>
      </w:r>
      <w:r w:rsidR="00AF44A7">
        <w:rPr>
          <w:rFonts w:eastAsia="Times New Roman" w:cs="Arial"/>
          <w:lang w:val="fr-FR" w:eastAsia="fr-FR"/>
        </w:rPr>
        <w:t xml:space="preserve">ou le maître </w:t>
      </w:r>
      <w:r w:rsidR="00AF44A7" w:rsidRPr="009600A2">
        <w:rPr>
          <w:rFonts w:eastAsia="Times New Roman" w:cs="Arial"/>
          <w:lang w:val="fr-FR" w:eastAsia="fr-FR"/>
        </w:rPr>
        <w:t xml:space="preserve">en </w:t>
      </w:r>
      <w:r w:rsidR="00AF44A7">
        <w:rPr>
          <w:rFonts w:eastAsia="Times New Roman" w:cs="Arial"/>
          <w:lang w:val="fr-FR" w:eastAsia="fr-FR"/>
        </w:rPr>
        <w:t>avait</w:t>
      </w:r>
      <w:r w:rsidR="00AF44A7" w:rsidRPr="009600A2">
        <w:rPr>
          <w:rFonts w:eastAsia="Times New Roman" w:cs="Arial"/>
          <w:lang w:val="fr-FR" w:eastAsia="fr-FR"/>
        </w:rPr>
        <w:t xml:space="preserve"> </w:t>
      </w:r>
      <w:r w:rsidR="00AF44A7">
        <w:rPr>
          <w:rFonts w:eastAsia="Times New Roman" w:cs="Arial"/>
          <w:lang w:val="fr-FR" w:eastAsia="fr-FR"/>
        </w:rPr>
        <w:t>connaissance</w:t>
      </w:r>
      <w:r w:rsidR="00AF44A7" w:rsidRPr="00EB14F0">
        <w:rPr>
          <w:rStyle w:val="Appelnotedebasdep"/>
          <w:rFonts w:eastAsia="Times New Roman" w:cs="Arial"/>
          <w:sz w:val="18"/>
          <w:szCs w:val="18"/>
          <w:lang w:val="fr-FR" w:eastAsia="fr-FR"/>
        </w:rPr>
        <w:footnoteReference w:id="23"/>
      </w:r>
      <w:r w:rsidR="00AF44A7" w:rsidRPr="009600A2">
        <w:rPr>
          <w:rFonts w:eastAsia="Times New Roman" w:cs="Arial"/>
          <w:lang w:val="fr-FR" w:eastAsia="fr-FR"/>
        </w:rPr>
        <w:t>.</w:t>
      </w:r>
      <w:r w:rsidR="00AF44A7">
        <w:rPr>
          <w:rFonts w:eastAsia="Times New Roman" w:cs="Arial"/>
          <w:lang w:val="fr-FR" w:eastAsia="fr-FR"/>
        </w:rPr>
        <w:t xml:space="preserve"> Une simple vraisemblance ne suffit pas. </w:t>
      </w:r>
      <w:r w:rsidR="004F057D" w:rsidRPr="0018716E">
        <w:rPr>
          <w:rFonts w:eastAsia="Times New Roman" w:cs="Arial"/>
          <w:lang w:val="fr-FR" w:eastAsia="fr-FR"/>
        </w:rPr>
        <w:t>L'art</w:t>
      </w:r>
      <w:r w:rsidRPr="0018716E">
        <w:rPr>
          <w:rFonts w:eastAsia="Times New Roman" w:cs="Arial"/>
          <w:lang w:val="fr-FR" w:eastAsia="fr-FR"/>
        </w:rPr>
        <w:t>icle</w:t>
      </w:r>
      <w:r w:rsidR="004F057D" w:rsidRPr="0018716E">
        <w:rPr>
          <w:rFonts w:eastAsia="Times New Roman" w:cs="Arial"/>
          <w:lang w:val="fr-FR" w:eastAsia="fr-FR"/>
        </w:rPr>
        <w:t xml:space="preserve"> 200 al. 2 CO présume </w:t>
      </w:r>
      <w:r w:rsidRPr="0018716E">
        <w:rPr>
          <w:rFonts w:eastAsia="Times New Roman" w:cs="Arial"/>
          <w:lang w:val="fr-FR" w:eastAsia="fr-FR"/>
        </w:rPr>
        <w:t xml:space="preserve">toutefois </w:t>
      </w:r>
      <w:r w:rsidR="004F057D" w:rsidRPr="0018716E">
        <w:rPr>
          <w:rFonts w:eastAsia="Times New Roman" w:cs="Arial"/>
          <w:lang w:val="fr-FR" w:eastAsia="fr-FR"/>
        </w:rPr>
        <w:t>la connaissance du défaut lorsqu</w:t>
      </w:r>
      <w:r w:rsidRPr="0018716E">
        <w:rPr>
          <w:rFonts w:eastAsia="Times New Roman" w:cs="Arial"/>
          <w:lang w:val="fr-FR" w:eastAsia="fr-FR"/>
        </w:rPr>
        <w:t>e ce dernier</w:t>
      </w:r>
      <w:r w:rsidR="004F057D" w:rsidRPr="0018716E">
        <w:rPr>
          <w:rFonts w:eastAsia="Times New Roman" w:cs="Arial"/>
          <w:lang w:val="fr-FR" w:eastAsia="fr-FR"/>
        </w:rPr>
        <w:t xml:space="preserve"> est reconnaissable pour une personne faisant preuve de l'attention </w:t>
      </w:r>
      <w:r w:rsidR="00161BD9">
        <w:rPr>
          <w:rFonts w:eastAsia="Times New Roman" w:cs="Arial"/>
          <w:lang w:val="fr-FR" w:eastAsia="fr-FR"/>
        </w:rPr>
        <w:t>commandée par les circonstances</w:t>
      </w:r>
      <w:r w:rsidR="00161BD9" w:rsidRPr="00DA76A9">
        <w:rPr>
          <w:rStyle w:val="Appelnotedebasdep"/>
          <w:rFonts w:eastAsia="Times New Roman" w:cs="Arial"/>
          <w:sz w:val="18"/>
          <w:szCs w:val="18"/>
          <w:lang w:val="fr-FR" w:eastAsia="fr-FR"/>
        </w:rPr>
        <w:footnoteReference w:id="24"/>
      </w:r>
      <w:r w:rsidR="00DA76A9">
        <w:rPr>
          <w:rFonts w:eastAsia="Times New Roman" w:cs="Arial"/>
          <w:lang w:val="fr-FR" w:eastAsia="fr-FR"/>
        </w:rPr>
        <w:t>.</w:t>
      </w:r>
    </w:p>
    <w:p w:rsidR="00E72552" w:rsidRPr="00E72552" w:rsidRDefault="00E72552" w:rsidP="00E72552">
      <w:pPr>
        <w:tabs>
          <w:tab w:val="left" w:pos="426"/>
        </w:tabs>
        <w:spacing w:before="0" w:line="225" w:lineRule="atLeast"/>
        <w:ind w:left="0" w:firstLine="0"/>
        <w:rPr>
          <w:rFonts w:eastAsia="Times New Roman" w:cs="Arial"/>
          <w:lang w:val="fr-FR" w:eastAsia="fr-FR"/>
        </w:rPr>
      </w:pPr>
    </w:p>
    <w:p w:rsidR="0018716E" w:rsidRPr="00E72552" w:rsidRDefault="00E72552" w:rsidP="00E72552">
      <w:pPr>
        <w:tabs>
          <w:tab w:val="left" w:pos="426"/>
        </w:tabs>
        <w:spacing w:before="0" w:line="225" w:lineRule="atLeast"/>
        <w:ind w:left="0" w:firstLine="0"/>
        <w:rPr>
          <w:rFonts w:eastAsia="Times New Roman" w:cs="Arial"/>
          <w:b/>
          <w:lang w:val="fr-FR" w:eastAsia="fr-FR"/>
        </w:rPr>
      </w:pPr>
      <w:r w:rsidRPr="00E72552">
        <w:rPr>
          <w:rFonts w:eastAsia="Times New Roman" w:cs="Arial"/>
          <w:b/>
          <w:lang w:val="fr-FR" w:eastAsia="fr-FR"/>
        </w:rPr>
        <w:t>d)</w:t>
      </w:r>
      <w:r w:rsidRPr="00E72552">
        <w:rPr>
          <w:rFonts w:eastAsia="Times New Roman" w:cs="Arial"/>
          <w:b/>
          <w:lang w:val="fr-FR" w:eastAsia="fr-FR"/>
        </w:rPr>
        <w:tab/>
        <w:t>Casuistique</w:t>
      </w:r>
    </w:p>
    <w:p w:rsidR="00A13224" w:rsidRDefault="00A13224" w:rsidP="00E72552">
      <w:pPr>
        <w:spacing w:before="0" w:line="225" w:lineRule="atLeast"/>
        <w:ind w:left="0" w:firstLine="0"/>
        <w:rPr>
          <w:rFonts w:eastAsia="Times New Roman" w:cs="Arial"/>
          <w:lang w:val="fr-FR" w:eastAsia="fr-FR"/>
        </w:rPr>
      </w:pPr>
    </w:p>
    <w:p w:rsidR="00E72552" w:rsidRDefault="00DA76A9" w:rsidP="00E72552">
      <w:pPr>
        <w:spacing w:before="0" w:line="225" w:lineRule="atLeast"/>
        <w:ind w:left="0" w:firstLine="0"/>
        <w:rPr>
          <w:rFonts w:eastAsia="Times New Roman" w:cs="Arial"/>
          <w:lang w:val="fr-FR" w:eastAsia="fr-FR"/>
        </w:rPr>
      </w:pPr>
      <w:r>
        <w:rPr>
          <w:rFonts w:eastAsia="Times New Roman" w:cs="Arial"/>
          <w:lang w:val="fr-FR" w:eastAsia="fr-FR"/>
        </w:rPr>
        <w:t xml:space="preserve">Il est utile d’illustrer ces considérations juridiques </w:t>
      </w:r>
      <w:r w:rsidR="00757B8F">
        <w:rPr>
          <w:rFonts w:eastAsia="Times New Roman" w:cs="Arial"/>
          <w:lang w:val="fr-FR" w:eastAsia="fr-FR"/>
        </w:rPr>
        <w:t xml:space="preserve">par quelques </w:t>
      </w:r>
      <w:r>
        <w:rPr>
          <w:rFonts w:eastAsia="Times New Roman" w:cs="Arial"/>
          <w:lang w:val="fr-FR" w:eastAsia="fr-FR"/>
        </w:rPr>
        <w:t>exemples concrets</w:t>
      </w:r>
      <w:r w:rsidR="008827BF">
        <w:rPr>
          <w:rFonts w:eastAsia="Times New Roman" w:cs="Arial"/>
          <w:lang w:val="fr-FR" w:eastAsia="fr-FR"/>
        </w:rPr>
        <w:t xml:space="preserve"> tirés de la jurisprudence</w:t>
      </w:r>
      <w:r>
        <w:rPr>
          <w:rFonts w:eastAsia="Times New Roman" w:cs="Arial"/>
          <w:lang w:val="fr-FR" w:eastAsia="fr-FR"/>
        </w:rPr>
        <w:t>. Ainsi, o</w:t>
      </w:r>
      <w:r w:rsidR="00E72552">
        <w:rPr>
          <w:rFonts w:eastAsia="Times New Roman" w:cs="Arial"/>
          <w:lang w:val="fr-FR" w:eastAsia="fr-FR"/>
        </w:rPr>
        <w:t xml:space="preserve">nt été retenus par les tribunaux comme </w:t>
      </w:r>
      <w:r w:rsidR="00873503">
        <w:rPr>
          <w:rFonts w:eastAsia="Times New Roman" w:cs="Arial"/>
          <w:lang w:val="fr-FR" w:eastAsia="fr-FR"/>
        </w:rPr>
        <w:t>relevant de la dissimulation frauduleuse</w:t>
      </w:r>
      <w:r w:rsidR="007304D0">
        <w:rPr>
          <w:rFonts w:eastAsia="Times New Roman" w:cs="Arial"/>
          <w:lang w:val="fr-FR" w:eastAsia="fr-FR"/>
        </w:rPr>
        <w:t xml:space="preserve"> </w:t>
      </w:r>
      <w:r w:rsidR="00E72552">
        <w:rPr>
          <w:rFonts w:eastAsia="Times New Roman" w:cs="Arial"/>
          <w:lang w:val="fr-FR" w:eastAsia="fr-FR"/>
        </w:rPr>
        <w:t>:</w:t>
      </w:r>
    </w:p>
    <w:p w:rsidR="00E72552" w:rsidRDefault="00E72552" w:rsidP="00E72552">
      <w:pPr>
        <w:spacing w:before="0" w:line="225" w:lineRule="atLeast"/>
        <w:ind w:left="0" w:firstLine="0"/>
        <w:rPr>
          <w:rFonts w:eastAsia="Times New Roman" w:cs="Arial"/>
          <w:lang w:val="fr-FR" w:eastAsia="fr-FR"/>
        </w:rPr>
      </w:pPr>
    </w:p>
    <w:p w:rsidR="00E72552" w:rsidRDefault="00DA76A9" w:rsidP="001F3345">
      <w:pPr>
        <w:pStyle w:val="Paragraphedeliste"/>
        <w:numPr>
          <w:ilvl w:val="0"/>
          <w:numId w:val="5"/>
        </w:numPr>
        <w:spacing w:before="0" w:after="120" w:line="225" w:lineRule="atLeast"/>
        <w:ind w:left="714" w:hanging="357"/>
        <w:contextualSpacing w:val="0"/>
        <w:rPr>
          <w:rFonts w:eastAsia="Times New Roman" w:cs="Arial"/>
          <w:lang w:val="fr-FR" w:eastAsia="fr-FR"/>
        </w:rPr>
      </w:pPr>
      <w:r w:rsidRPr="00DA76A9">
        <w:rPr>
          <w:rFonts w:eastAsia="Times New Roman" w:cs="Arial"/>
          <w:lang w:val="fr-FR" w:eastAsia="fr-FR"/>
        </w:rPr>
        <w:t>l</w:t>
      </w:r>
      <w:r w:rsidR="00873503" w:rsidRPr="00DA76A9">
        <w:rPr>
          <w:rFonts w:eastAsia="Times New Roman" w:cs="Arial"/>
          <w:lang w:val="fr-FR" w:eastAsia="fr-FR"/>
        </w:rPr>
        <w:t>e fait pour un entrepreneur d</w:t>
      </w:r>
      <w:r w:rsidR="00111C98" w:rsidRPr="00DA76A9">
        <w:rPr>
          <w:rFonts w:eastAsia="Times New Roman" w:cs="Arial"/>
          <w:lang w:val="fr-FR" w:eastAsia="fr-FR"/>
        </w:rPr>
        <w:t xml:space="preserve">’avoir </w:t>
      </w:r>
      <w:proofErr w:type="spellStart"/>
      <w:r w:rsidR="00111C98" w:rsidRPr="00DA76A9">
        <w:rPr>
          <w:rFonts w:eastAsia="Times New Roman" w:cs="Arial"/>
          <w:lang w:val="fr-FR" w:eastAsia="fr-FR"/>
        </w:rPr>
        <w:t>tu</w:t>
      </w:r>
      <w:proofErr w:type="spellEnd"/>
      <w:r w:rsidR="00111C98" w:rsidRPr="00DA76A9">
        <w:rPr>
          <w:rFonts w:eastAsia="Times New Roman" w:cs="Arial"/>
          <w:lang w:val="fr-FR" w:eastAsia="fr-FR"/>
        </w:rPr>
        <w:t xml:space="preserve"> </w:t>
      </w:r>
      <w:r w:rsidR="00873503" w:rsidRPr="00DA76A9">
        <w:rPr>
          <w:rFonts w:eastAsia="Times New Roman" w:cs="Arial"/>
          <w:lang w:val="fr-FR" w:eastAsia="fr-FR"/>
        </w:rPr>
        <w:t xml:space="preserve">au maître d’ouvrage que </w:t>
      </w:r>
      <w:r w:rsidR="008827BF">
        <w:rPr>
          <w:rFonts w:eastAsia="Times New Roman" w:cs="Arial"/>
          <w:lang w:val="fr-FR" w:eastAsia="fr-FR"/>
        </w:rPr>
        <w:t>d</w:t>
      </w:r>
      <w:r w:rsidR="00873503" w:rsidRPr="00DA76A9">
        <w:rPr>
          <w:rFonts w:eastAsia="Times New Roman" w:cs="Arial"/>
          <w:lang w:val="fr-FR" w:eastAsia="fr-FR"/>
        </w:rPr>
        <w:t>es stores avai</w:t>
      </w:r>
      <w:r w:rsidR="007304D0" w:rsidRPr="00DA76A9">
        <w:rPr>
          <w:rFonts w:eastAsia="Times New Roman" w:cs="Arial"/>
          <w:lang w:val="fr-FR" w:eastAsia="fr-FR"/>
        </w:rPr>
        <w:t>en</w:t>
      </w:r>
      <w:r w:rsidR="00873503" w:rsidRPr="00DA76A9">
        <w:rPr>
          <w:rFonts w:eastAsia="Times New Roman" w:cs="Arial"/>
          <w:lang w:val="fr-FR" w:eastAsia="fr-FR"/>
        </w:rPr>
        <w:t>t été nettoyé</w:t>
      </w:r>
      <w:r w:rsidR="007304D0" w:rsidRPr="00DA76A9">
        <w:rPr>
          <w:rFonts w:eastAsia="Times New Roman" w:cs="Arial"/>
          <w:lang w:val="fr-FR" w:eastAsia="fr-FR"/>
        </w:rPr>
        <w:t>s</w:t>
      </w:r>
      <w:r w:rsidR="00873503" w:rsidRPr="00DA76A9">
        <w:rPr>
          <w:rFonts w:eastAsia="Times New Roman" w:cs="Arial"/>
          <w:lang w:val="fr-FR" w:eastAsia="fr-FR"/>
        </w:rPr>
        <w:t xml:space="preserve"> (par un sous-traitant) au moyen d’un jet d’eau à haute pression, ce qui avait conduit à l</w:t>
      </w:r>
      <w:r w:rsidR="007304D0" w:rsidRPr="00DA76A9">
        <w:rPr>
          <w:rFonts w:eastAsia="Times New Roman" w:cs="Arial"/>
          <w:lang w:val="fr-FR" w:eastAsia="fr-FR"/>
        </w:rPr>
        <w:t>a détérioration</w:t>
      </w:r>
      <w:r w:rsidR="00873503" w:rsidRPr="00DA76A9">
        <w:rPr>
          <w:rFonts w:eastAsia="Times New Roman" w:cs="Arial"/>
          <w:lang w:val="fr-FR" w:eastAsia="fr-FR"/>
        </w:rPr>
        <w:t xml:space="preserve"> des moteurs de stores</w:t>
      </w:r>
      <w:r w:rsidR="007304D0" w:rsidRPr="007304D0">
        <w:rPr>
          <w:rStyle w:val="Appelnotedebasdep"/>
          <w:rFonts w:eastAsia="Times New Roman" w:cs="Arial"/>
          <w:sz w:val="18"/>
          <w:szCs w:val="18"/>
          <w:lang w:val="fr-FR" w:eastAsia="fr-FR"/>
        </w:rPr>
        <w:footnoteReference w:id="25"/>
      </w:r>
      <w:r w:rsidR="007304D0" w:rsidRPr="00DA76A9">
        <w:rPr>
          <w:rFonts w:eastAsia="Times New Roman" w:cs="Arial"/>
          <w:lang w:val="fr-FR" w:eastAsia="fr-FR"/>
        </w:rPr>
        <w:t>;</w:t>
      </w:r>
    </w:p>
    <w:p w:rsidR="009A7DFA" w:rsidRDefault="009A7DFA" w:rsidP="001F3345">
      <w:pPr>
        <w:pStyle w:val="Paragraphedeliste"/>
        <w:numPr>
          <w:ilvl w:val="0"/>
          <w:numId w:val="5"/>
        </w:numPr>
        <w:spacing w:before="0" w:after="120" w:line="225" w:lineRule="atLeast"/>
        <w:ind w:left="714" w:hanging="357"/>
        <w:contextualSpacing w:val="0"/>
        <w:rPr>
          <w:rFonts w:eastAsia="Times New Roman" w:cs="Arial"/>
          <w:lang w:val="fr-FR" w:eastAsia="fr-FR"/>
        </w:rPr>
      </w:pPr>
      <w:r>
        <w:rPr>
          <w:rFonts w:eastAsia="Times New Roman" w:cs="Arial"/>
          <w:lang w:val="fr-FR" w:eastAsia="fr-FR"/>
        </w:rPr>
        <w:t xml:space="preserve">le fait pour un vendeur d’avoir omis de signaler aux acheteurs que </w:t>
      </w:r>
      <w:r w:rsidRPr="009600A2">
        <w:rPr>
          <w:rFonts w:eastAsia="Times New Roman" w:cs="Arial"/>
          <w:lang w:val="fr-FR" w:eastAsia="fr-FR"/>
        </w:rPr>
        <w:t xml:space="preserve">les parcelles </w:t>
      </w:r>
      <w:r>
        <w:rPr>
          <w:rFonts w:eastAsia="Times New Roman" w:cs="Arial"/>
          <w:lang w:val="fr-FR" w:eastAsia="fr-FR"/>
        </w:rPr>
        <w:t xml:space="preserve">objets de la vente </w:t>
      </w:r>
      <w:r w:rsidRPr="009600A2">
        <w:rPr>
          <w:rFonts w:eastAsia="Times New Roman" w:cs="Arial"/>
          <w:lang w:val="fr-FR" w:eastAsia="fr-FR"/>
        </w:rPr>
        <w:t xml:space="preserve">étaient </w:t>
      </w:r>
      <w:r w:rsidR="00AF44A7">
        <w:rPr>
          <w:rFonts w:eastAsia="Times New Roman" w:cs="Arial"/>
          <w:lang w:val="fr-FR" w:eastAsia="fr-FR"/>
        </w:rPr>
        <w:t>c</w:t>
      </w:r>
      <w:r w:rsidRPr="009600A2">
        <w:rPr>
          <w:rFonts w:eastAsia="Times New Roman" w:cs="Arial"/>
          <w:lang w:val="fr-FR" w:eastAsia="fr-FR"/>
        </w:rPr>
        <w:t>lass</w:t>
      </w:r>
      <w:r w:rsidR="00AF44A7">
        <w:rPr>
          <w:rFonts w:eastAsia="Times New Roman" w:cs="Arial"/>
          <w:lang w:val="fr-FR" w:eastAsia="fr-FR"/>
        </w:rPr>
        <w:t xml:space="preserve">ées </w:t>
      </w:r>
      <w:r w:rsidRPr="009600A2">
        <w:rPr>
          <w:rFonts w:eastAsia="Times New Roman" w:cs="Arial"/>
          <w:lang w:val="fr-FR" w:eastAsia="fr-FR"/>
        </w:rPr>
        <w:t>en zone d'utilité publique</w:t>
      </w:r>
      <w:r w:rsidR="00AF44A7">
        <w:rPr>
          <w:rFonts w:eastAsia="Times New Roman" w:cs="Arial"/>
          <w:lang w:val="fr-FR" w:eastAsia="fr-FR"/>
        </w:rPr>
        <w:t xml:space="preserve"> et qu’elles étaient donc inconstructibles</w:t>
      </w:r>
      <w:r w:rsidR="00AF44A7" w:rsidRPr="00AF44A7">
        <w:rPr>
          <w:rStyle w:val="Appelnotedebasdep"/>
          <w:rFonts w:eastAsia="Times New Roman" w:cs="Arial"/>
          <w:sz w:val="18"/>
          <w:szCs w:val="18"/>
          <w:lang w:val="fr-FR" w:eastAsia="fr-FR"/>
        </w:rPr>
        <w:footnoteReference w:id="26"/>
      </w:r>
      <w:r w:rsidR="00AF44A7">
        <w:rPr>
          <w:rFonts w:eastAsia="Times New Roman" w:cs="Arial"/>
          <w:lang w:val="fr-FR" w:eastAsia="fr-FR"/>
        </w:rPr>
        <w:t>;</w:t>
      </w:r>
    </w:p>
    <w:p w:rsidR="00941727" w:rsidRDefault="00941727" w:rsidP="001F3345">
      <w:pPr>
        <w:pStyle w:val="Paragraphedeliste"/>
        <w:numPr>
          <w:ilvl w:val="0"/>
          <w:numId w:val="5"/>
        </w:numPr>
        <w:spacing w:before="0" w:after="120" w:line="225" w:lineRule="atLeast"/>
        <w:ind w:left="714" w:hanging="357"/>
        <w:contextualSpacing w:val="0"/>
        <w:rPr>
          <w:rFonts w:eastAsia="Times New Roman" w:cs="Arial"/>
          <w:lang w:val="fr-FR" w:eastAsia="fr-FR"/>
        </w:rPr>
      </w:pPr>
      <w:r>
        <w:rPr>
          <w:rFonts w:eastAsia="Times New Roman" w:cs="Arial"/>
          <w:lang w:val="fr-FR" w:eastAsia="fr-FR"/>
        </w:rPr>
        <w:t>le fait pour un vendeur d’avoir caché à l’acheteur d’un immeuble que le réseau de distribution d’eau chaude fuyait en raison de conduites en plastique inadaptées, ce que le vendeur savait</w:t>
      </w:r>
      <w:r w:rsidRPr="003C45F8">
        <w:rPr>
          <w:rStyle w:val="Appelnotedebasdep"/>
          <w:rFonts w:eastAsia="Times New Roman" w:cs="Arial"/>
          <w:sz w:val="18"/>
          <w:szCs w:val="18"/>
          <w:lang w:val="fr-FR" w:eastAsia="fr-FR"/>
        </w:rPr>
        <w:footnoteReference w:id="27"/>
      </w:r>
      <w:r>
        <w:rPr>
          <w:rFonts w:eastAsia="Times New Roman" w:cs="Arial"/>
          <w:lang w:val="fr-FR" w:eastAsia="fr-FR"/>
        </w:rPr>
        <w:t>;</w:t>
      </w:r>
    </w:p>
    <w:p w:rsidR="0015724F" w:rsidRDefault="0015724F" w:rsidP="001F3345">
      <w:pPr>
        <w:pStyle w:val="Paragraphedeliste"/>
        <w:numPr>
          <w:ilvl w:val="0"/>
          <w:numId w:val="5"/>
        </w:numPr>
        <w:spacing w:before="0" w:after="120" w:line="225" w:lineRule="atLeast"/>
        <w:ind w:left="714" w:hanging="357"/>
        <w:contextualSpacing w:val="0"/>
        <w:rPr>
          <w:rFonts w:eastAsia="Times New Roman" w:cs="Arial"/>
          <w:lang w:val="fr-FR" w:eastAsia="fr-FR"/>
        </w:rPr>
      </w:pPr>
      <w:r>
        <w:rPr>
          <w:rFonts w:eastAsia="Times New Roman" w:cs="Arial"/>
          <w:lang w:val="fr-FR" w:eastAsia="fr-FR"/>
        </w:rPr>
        <w:t>le fait pour un vendeur d’avoir caché que l’entreprise de sauna qu’il vendait était affectée d’un défaut se matérialisant par de</w:t>
      </w:r>
      <w:r w:rsidR="003C45F8">
        <w:rPr>
          <w:rFonts w:eastAsia="Times New Roman" w:cs="Arial"/>
          <w:lang w:val="fr-FR" w:eastAsia="fr-FR"/>
        </w:rPr>
        <w:t>s écoulements d’eau en sous-sol</w:t>
      </w:r>
      <w:r w:rsidRPr="003C45F8">
        <w:rPr>
          <w:rStyle w:val="Appelnotedebasdep"/>
          <w:rFonts w:eastAsia="Times New Roman" w:cs="Arial"/>
          <w:sz w:val="18"/>
          <w:szCs w:val="18"/>
          <w:lang w:val="fr-FR" w:eastAsia="fr-FR"/>
        </w:rPr>
        <w:footnoteReference w:id="28"/>
      </w:r>
      <w:r w:rsidR="00FD506B">
        <w:rPr>
          <w:rFonts w:eastAsia="Times New Roman" w:cs="Arial"/>
          <w:lang w:val="fr-FR" w:eastAsia="fr-FR"/>
        </w:rPr>
        <w:t>;</w:t>
      </w:r>
    </w:p>
    <w:p w:rsidR="00FD506B" w:rsidRPr="00FD506B" w:rsidRDefault="00FD506B" w:rsidP="00DA76A9">
      <w:pPr>
        <w:pStyle w:val="Paragraphedeliste"/>
        <w:numPr>
          <w:ilvl w:val="0"/>
          <w:numId w:val="5"/>
        </w:numPr>
        <w:spacing w:before="0" w:line="225" w:lineRule="atLeast"/>
        <w:rPr>
          <w:rFonts w:eastAsia="Times New Roman" w:cs="Arial"/>
          <w:lang w:val="fr-FR" w:eastAsia="fr-FR"/>
        </w:rPr>
      </w:pPr>
      <w:r w:rsidRPr="00FD506B">
        <w:rPr>
          <w:rFonts w:eastAsia="Times New Roman" w:cs="Arial"/>
          <w:lang w:val="fr-FR" w:eastAsia="fr-FR"/>
        </w:rPr>
        <w:t xml:space="preserve">le fait pour les vendeurs de s’être abstenu de </w:t>
      </w:r>
      <w:r w:rsidRPr="00FD506B">
        <w:rPr>
          <w:rFonts w:cs="Arial"/>
        </w:rPr>
        <w:t>signaler à l’acheteur d’une villa que le terrain sur lequel reposait la véranda présentait des problèmes de stabilité dont ils avaient connaissance</w:t>
      </w:r>
      <w:r w:rsidR="00757B8F">
        <w:rPr>
          <w:rFonts w:cs="Arial"/>
        </w:rPr>
        <w:t xml:space="preserve"> et qui, peu après la vente, ont provoqué des fissures au bâtiment</w:t>
      </w:r>
      <w:r w:rsidRPr="00FD506B">
        <w:rPr>
          <w:rStyle w:val="Appelnotedebasdep"/>
          <w:rFonts w:cs="Arial"/>
          <w:sz w:val="18"/>
          <w:szCs w:val="18"/>
        </w:rPr>
        <w:footnoteReference w:id="29"/>
      </w:r>
      <w:r w:rsidRPr="00FD506B">
        <w:rPr>
          <w:rFonts w:cs="Arial"/>
        </w:rPr>
        <w:t>.</w:t>
      </w:r>
    </w:p>
    <w:p w:rsidR="00E72552" w:rsidRDefault="00E72552" w:rsidP="00E72552">
      <w:pPr>
        <w:spacing w:before="0" w:line="225" w:lineRule="atLeast"/>
        <w:ind w:left="0" w:firstLine="0"/>
        <w:rPr>
          <w:rFonts w:eastAsia="Times New Roman" w:cs="Arial"/>
          <w:lang w:val="fr-FR" w:eastAsia="fr-FR"/>
        </w:rPr>
      </w:pPr>
    </w:p>
    <w:p w:rsidR="00FD506B" w:rsidRDefault="00FD506B" w:rsidP="00E72552">
      <w:pPr>
        <w:spacing w:before="0" w:line="225" w:lineRule="atLeast"/>
        <w:ind w:left="0" w:firstLine="0"/>
        <w:rPr>
          <w:rFonts w:eastAsia="Times New Roman" w:cs="Arial"/>
          <w:lang w:val="fr-FR" w:eastAsia="fr-FR"/>
        </w:rPr>
      </w:pPr>
      <w:r>
        <w:rPr>
          <w:rFonts w:eastAsia="Times New Roman" w:cs="Arial"/>
          <w:lang w:val="fr-FR" w:eastAsia="fr-FR"/>
        </w:rPr>
        <w:lastRenderedPageBreak/>
        <w:t xml:space="preserve">Il ressort toutefois de la jurisprudence </w:t>
      </w:r>
      <w:r w:rsidR="0072653E">
        <w:rPr>
          <w:rFonts w:eastAsia="Times New Roman" w:cs="Arial"/>
          <w:lang w:val="fr-FR" w:eastAsia="fr-FR"/>
        </w:rPr>
        <w:t>consultée que la majorité des arrêts rendus ont écarté l’existence du « défaut intentionnellement dissimulé » qu’invoquait l’acheteur ou le maître, souvent en raison de l’échec de l’administration de la preuve des conditions qui doivent être réunies pour pouvoir retenir un tel défaut.</w:t>
      </w:r>
    </w:p>
    <w:p w:rsidR="00FD506B" w:rsidRPr="00E72552" w:rsidRDefault="00FD506B" w:rsidP="00E72552">
      <w:pPr>
        <w:spacing w:before="0" w:line="225" w:lineRule="atLeast"/>
        <w:ind w:left="0" w:firstLine="0"/>
        <w:rPr>
          <w:rFonts w:eastAsia="Times New Roman" w:cs="Arial"/>
          <w:lang w:val="fr-FR" w:eastAsia="fr-FR"/>
        </w:rPr>
      </w:pPr>
    </w:p>
    <w:p w:rsidR="00A13224" w:rsidRPr="0018716E" w:rsidRDefault="009600A2" w:rsidP="009600A2">
      <w:pPr>
        <w:tabs>
          <w:tab w:val="left" w:pos="426"/>
        </w:tabs>
        <w:spacing w:before="0" w:line="225" w:lineRule="atLeast"/>
        <w:ind w:left="426" w:hanging="426"/>
        <w:jc w:val="left"/>
        <w:rPr>
          <w:rFonts w:eastAsia="Times New Roman" w:cs="Arial"/>
          <w:b/>
          <w:lang w:val="fr-FR" w:eastAsia="fr-FR"/>
        </w:rPr>
      </w:pPr>
      <w:r>
        <w:rPr>
          <w:rFonts w:eastAsia="Times New Roman" w:cs="Arial"/>
          <w:b/>
          <w:lang w:val="fr-FR" w:eastAsia="fr-FR"/>
        </w:rPr>
        <w:t>III.</w:t>
      </w:r>
      <w:r>
        <w:rPr>
          <w:rFonts w:eastAsia="Times New Roman" w:cs="Arial"/>
          <w:b/>
          <w:lang w:val="fr-FR" w:eastAsia="fr-FR"/>
        </w:rPr>
        <w:tab/>
      </w:r>
      <w:r w:rsidR="00A13224" w:rsidRPr="0018716E">
        <w:rPr>
          <w:rFonts w:eastAsia="Times New Roman" w:cs="Arial"/>
          <w:b/>
          <w:lang w:val="fr-FR" w:eastAsia="fr-FR"/>
        </w:rPr>
        <w:t>Les conséquences</w:t>
      </w:r>
      <w:r w:rsidR="00F678D5">
        <w:rPr>
          <w:rFonts w:eastAsia="Times New Roman" w:cs="Arial"/>
          <w:b/>
          <w:lang w:val="fr-FR" w:eastAsia="fr-FR"/>
        </w:rPr>
        <w:t xml:space="preserve"> sur l’exercice des droits de garantie</w:t>
      </w:r>
    </w:p>
    <w:p w:rsidR="00A13224" w:rsidRDefault="00A13224" w:rsidP="006C7CD6">
      <w:pPr>
        <w:spacing w:before="0" w:line="225" w:lineRule="atLeast"/>
        <w:jc w:val="left"/>
        <w:rPr>
          <w:rFonts w:eastAsia="Times New Roman" w:cs="Arial"/>
          <w:lang w:val="fr-FR" w:eastAsia="fr-FR"/>
        </w:rPr>
      </w:pPr>
    </w:p>
    <w:p w:rsidR="00DA76A9" w:rsidRDefault="00DA76A9" w:rsidP="00DA76A9">
      <w:pPr>
        <w:spacing w:before="0" w:line="225" w:lineRule="atLeast"/>
        <w:ind w:left="0" w:firstLine="0"/>
        <w:rPr>
          <w:rFonts w:eastAsia="Times New Roman" w:cs="Arial"/>
          <w:lang w:val="fr-FR" w:eastAsia="fr-FR"/>
        </w:rPr>
      </w:pPr>
      <w:r>
        <w:rPr>
          <w:rFonts w:eastAsia="Times New Roman" w:cs="Arial"/>
          <w:lang w:val="fr-FR" w:eastAsia="fr-FR"/>
        </w:rPr>
        <w:t>En présence d’un défaut</w:t>
      </w:r>
      <w:r w:rsidR="00F678D5" w:rsidRPr="00F678D5">
        <w:rPr>
          <w:rFonts w:eastAsia="Times New Roman" w:cs="Arial"/>
          <w:lang w:val="fr-FR" w:eastAsia="fr-FR"/>
        </w:rPr>
        <w:t xml:space="preserve"> </w:t>
      </w:r>
      <w:r w:rsidR="00F678D5">
        <w:rPr>
          <w:rFonts w:eastAsia="Times New Roman" w:cs="Arial"/>
          <w:lang w:val="fr-FR" w:eastAsia="fr-FR"/>
        </w:rPr>
        <w:t>frauduleusement dissimulé</w:t>
      </w:r>
      <w:r>
        <w:rPr>
          <w:rFonts w:eastAsia="Times New Roman" w:cs="Arial"/>
          <w:lang w:val="fr-FR" w:eastAsia="fr-FR"/>
        </w:rPr>
        <w:t xml:space="preserve">, la mise en œuvre des droits de </w:t>
      </w:r>
      <w:r w:rsidR="00F678D5">
        <w:rPr>
          <w:rFonts w:eastAsia="Times New Roman" w:cs="Arial"/>
          <w:lang w:val="fr-FR" w:eastAsia="fr-FR"/>
        </w:rPr>
        <w:t xml:space="preserve">garantie de </w:t>
      </w:r>
      <w:r>
        <w:rPr>
          <w:rFonts w:eastAsia="Times New Roman" w:cs="Arial"/>
          <w:lang w:val="fr-FR" w:eastAsia="fr-FR"/>
        </w:rPr>
        <w:t xml:space="preserve">l’acheteur et du maître </w:t>
      </w:r>
      <w:r w:rsidR="00F678D5">
        <w:rPr>
          <w:rFonts w:eastAsia="Times New Roman" w:cs="Arial"/>
          <w:lang w:val="fr-FR" w:eastAsia="fr-FR"/>
        </w:rPr>
        <w:t>dépendra bien sûr de ce que les parties sont convenues dans le contrat qu’</w:t>
      </w:r>
      <w:r w:rsidR="001E6599">
        <w:rPr>
          <w:rFonts w:eastAsia="Times New Roman" w:cs="Arial"/>
          <w:lang w:val="fr-FR" w:eastAsia="fr-FR"/>
        </w:rPr>
        <w:t xml:space="preserve">elles ont conclu, sous réserve des </w:t>
      </w:r>
      <w:r w:rsidR="00F678D5">
        <w:rPr>
          <w:rFonts w:eastAsia="Times New Roman" w:cs="Arial"/>
          <w:lang w:val="fr-FR" w:eastAsia="fr-FR"/>
        </w:rPr>
        <w:t>trois conséquences suivantes.</w:t>
      </w:r>
    </w:p>
    <w:p w:rsidR="00DA76A9" w:rsidRPr="0018716E" w:rsidRDefault="00DA76A9" w:rsidP="006C7CD6">
      <w:pPr>
        <w:spacing w:before="0" w:line="225" w:lineRule="atLeast"/>
        <w:jc w:val="left"/>
        <w:rPr>
          <w:rFonts w:eastAsia="Times New Roman" w:cs="Arial"/>
          <w:lang w:val="fr-FR" w:eastAsia="fr-FR"/>
        </w:rPr>
      </w:pPr>
    </w:p>
    <w:p w:rsidR="00A13224" w:rsidRPr="0018716E" w:rsidRDefault="009600A2" w:rsidP="009600A2">
      <w:pPr>
        <w:spacing w:before="0" w:line="225" w:lineRule="atLeast"/>
        <w:ind w:left="426" w:hanging="426"/>
        <w:jc w:val="left"/>
        <w:rPr>
          <w:rFonts w:eastAsia="Times New Roman" w:cs="Arial"/>
          <w:b/>
          <w:lang w:val="fr-FR" w:eastAsia="fr-FR"/>
        </w:rPr>
      </w:pPr>
      <w:r>
        <w:rPr>
          <w:rFonts w:eastAsia="Times New Roman" w:cs="Arial"/>
          <w:b/>
          <w:lang w:val="fr-FR" w:eastAsia="fr-FR"/>
        </w:rPr>
        <w:t>a)</w:t>
      </w:r>
      <w:r>
        <w:rPr>
          <w:rFonts w:eastAsia="Times New Roman" w:cs="Arial"/>
          <w:b/>
          <w:lang w:val="fr-FR" w:eastAsia="fr-FR"/>
        </w:rPr>
        <w:tab/>
      </w:r>
      <w:r w:rsidR="00A13224" w:rsidRPr="0018716E">
        <w:rPr>
          <w:rFonts w:eastAsia="Times New Roman" w:cs="Arial"/>
          <w:b/>
          <w:lang w:val="fr-FR" w:eastAsia="fr-FR"/>
        </w:rPr>
        <w:t>La nullité de la clause limitative ou exclusive de responsabilité</w:t>
      </w:r>
    </w:p>
    <w:p w:rsidR="004F057D" w:rsidRPr="0018716E" w:rsidRDefault="004F057D" w:rsidP="006C7CD6">
      <w:pPr>
        <w:spacing w:before="0" w:line="225" w:lineRule="atLeast"/>
        <w:jc w:val="left"/>
        <w:rPr>
          <w:rFonts w:eastAsia="Times New Roman" w:cs="Arial"/>
          <w:lang w:val="fr-FR" w:eastAsia="fr-FR"/>
        </w:rPr>
      </w:pPr>
    </w:p>
    <w:p w:rsidR="00757B8F" w:rsidRDefault="001C24DB" w:rsidP="001E6599">
      <w:pPr>
        <w:spacing w:before="0"/>
        <w:ind w:left="0" w:firstLine="0"/>
      </w:pPr>
      <w:r>
        <w:rPr>
          <w:rFonts w:cs="Arial"/>
        </w:rPr>
        <w:t>Les règles sur la garantie des défauts étant de droit dispositif, l</w:t>
      </w:r>
      <w:r w:rsidR="001E6599">
        <w:t>es parties à un contrat de vente ou d’entreprise peuvent limiter, voire exclure, la garantie du vendeur ou de l’entrepreneur pour les défauts appare</w:t>
      </w:r>
      <w:r w:rsidR="00757B8F">
        <w:t>nts et pour les défauts cachés.</w:t>
      </w:r>
    </w:p>
    <w:p w:rsidR="00757B8F" w:rsidRDefault="00757B8F" w:rsidP="001E6599">
      <w:pPr>
        <w:spacing w:before="0"/>
        <w:ind w:left="0" w:firstLine="0"/>
      </w:pPr>
    </w:p>
    <w:p w:rsidR="001E6599" w:rsidRDefault="001E6599" w:rsidP="001E6599">
      <w:pPr>
        <w:spacing w:before="0"/>
        <w:ind w:left="0" w:firstLine="0"/>
      </w:pPr>
      <w:r>
        <w:t xml:space="preserve">Affaiblissant les droits de l’acheteur et du maître, ces clauses limitatives ou exclusives de responsabilité sont souvent insérées (par le vendeur) dans les contrats de vente immobilière, parfois aussi dans les contrats d’entreprise, en des termes tels que </w:t>
      </w:r>
      <w:r w:rsidRPr="00492936">
        <w:rPr>
          <w:i/>
        </w:rPr>
        <w:t>« l’immeuble sera transféré dans son état juridique et matériel actuel, que l’acheteur déclare bien connaître, sans garantie légale ni conventionnelle »</w:t>
      </w:r>
      <w:r>
        <w:t xml:space="preserve"> ou bien </w:t>
      </w:r>
      <w:r w:rsidRPr="009310DF">
        <w:rPr>
          <w:i/>
        </w:rPr>
        <w:t>« la vente est convenue sans aucune garantie quelconque quant aux défauts éventuels de la chose vendue; en conséquence, l'acheteur déclare savoir qu'il est ainsi privé des garanties prévues par le Code des obligations »</w:t>
      </w:r>
      <w:r>
        <w:rPr>
          <w:i/>
        </w:rPr>
        <w:t xml:space="preserve"> </w:t>
      </w:r>
      <w:r w:rsidRPr="00492419">
        <w:t>ou encore</w:t>
      </w:r>
      <w:r>
        <w:rPr>
          <w:i/>
        </w:rPr>
        <w:t xml:space="preserve"> « l’entrepreneur cède au maître d’ouvrage les droits de garantie dont il est lui-même titulaire à l’endroit des architectes, i</w:t>
      </w:r>
      <w:r w:rsidR="00757B8F">
        <w:rPr>
          <w:i/>
        </w:rPr>
        <w:t xml:space="preserve">ngénieurs et sous-traitants </w:t>
      </w:r>
      <w:r>
        <w:rPr>
          <w:i/>
        </w:rPr>
        <w:t>qui auront œuvré à la réalisé de l’ouvrage; moyennant cette cession, l’entrepreneur est libéré de toute garantie à raison des éventuels défauts de l’ouvrage »</w:t>
      </w:r>
      <w:r>
        <w:t>.</w:t>
      </w:r>
    </w:p>
    <w:p w:rsidR="001E6599" w:rsidRDefault="001E6599" w:rsidP="001E6599">
      <w:pPr>
        <w:spacing w:before="0"/>
        <w:ind w:left="0" w:firstLine="0"/>
      </w:pPr>
    </w:p>
    <w:p w:rsidR="001E6599" w:rsidRPr="00A2365E" w:rsidRDefault="001E6599" w:rsidP="00A2365E">
      <w:pPr>
        <w:spacing w:before="0"/>
        <w:ind w:left="0" w:firstLine="0"/>
      </w:pPr>
      <w:r>
        <w:t>En pareilles hypothèses, l’acheteur et le maître se trouvent en principe privés de la faculté de s’en prendre au vendeur, respectivement à l’entrepreneur s’ils découvrent plus tard que l’objet acquis ou livré est affecté d’un défaut</w:t>
      </w:r>
      <w:r w:rsidRPr="00EE3B6F">
        <w:rPr>
          <w:rStyle w:val="Appelnotedebasdep"/>
          <w:sz w:val="18"/>
          <w:szCs w:val="18"/>
        </w:rPr>
        <w:footnoteReference w:id="30"/>
      </w:r>
      <w:r>
        <w:t>. Toutefois, en présence d’un défaut frauduleusement dissimulé, l’acheteur pourra se prév</w:t>
      </w:r>
      <w:r w:rsidR="00A2365E">
        <w:t xml:space="preserve">aloir de la nullité de la </w:t>
      </w:r>
      <w:r>
        <w:t>clause limitative ou exclusive de responsabilité. En effet, l’article 199 CO</w:t>
      </w:r>
      <w:r w:rsidR="003F31E4">
        <w:t>, qui est de droit impératif,</w:t>
      </w:r>
      <w:r>
        <w:t xml:space="preserve"> </w:t>
      </w:r>
      <w:r w:rsidR="00A2365E">
        <w:t>dispose</w:t>
      </w:r>
      <w:r>
        <w:t xml:space="preserve"> que toute clause qui supprime ou restreint la garantie est nulle si le vendeur a frauduleusement dissimulé à </w:t>
      </w:r>
      <w:r w:rsidRPr="00A2365E">
        <w:t xml:space="preserve">l’acheteur les défauts de la chose. </w:t>
      </w:r>
      <w:r w:rsidRPr="00A2365E">
        <w:rPr>
          <w:rFonts w:eastAsia="Times New Roman" w:cs="Arial"/>
          <w:lang w:val="fr-FR" w:eastAsia="fr-FR"/>
        </w:rPr>
        <w:t xml:space="preserve">Si c’est un contrat d’entreprise qui a été conclu, le maître pourra également invoquer </w:t>
      </w:r>
      <w:r w:rsidR="003F31E4">
        <w:rPr>
          <w:rFonts w:eastAsia="Times New Roman" w:cs="Arial"/>
          <w:lang w:val="fr-FR" w:eastAsia="fr-FR"/>
        </w:rPr>
        <w:t>cette disposition légale par analogie</w:t>
      </w:r>
      <w:r w:rsidR="003F31E4" w:rsidRPr="003F31E4">
        <w:rPr>
          <w:rStyle w:val="Appelnotedebasdep"/>
          <w:rFonts w:eastAsia="Times New Roman" w:cs="Arial"/>
          <w:sz w:val="18"/>
          <w:szCs w:val="18"/>
          <w:lang w:val="fr-FR" w:eastAsia="fr-FR"/>
        </w:rPr>
        <w:footnoteReference w:id="31"/>
      </w:r>
      <w:r w:rsidR="003F31E4">
        <w:rPr>
          <w:rFonts w:eastAsia="Times New Roman" w:cs="Arial"/>
          <w:lang w:val="fr-FR" w:eastAsia="fr-FR"/>
        </w:rPr>
        <w:t xml:space="preserve">, ou invoquer </w:t>
      </w:r>
      <w:r w:rsidRPr="00A2365E">
        <w:rPr>
          <w:rFonts w:eastAsia="Times New Roman" w:cs="Arial"/>
          <w:lang w:val="fr-FR" w:eastAsia="fr-FR"/>
        </w:rPr>
        <w:t xml:space="preserve">la nullité d’une </w:t>
      </w:r>
      <w:r w:rsidR="00A2365E" w:rsidRPr="00A2365E">
        <w:rPr>
          <w:rFonts w:eastAsia="Times New Roman" w:cs="Arial"/>
          <w:lang w:val="fr-FR" w:eastAsia="fr-FR"/>
        </w:rPr>
        <w:t>telle clause</w:t>
      </w:r>
      <w:r w:rsidRPr="00A2365E">
        <w:rPr>
          <w:rFonts w:eastAsia="Times New Roman" w:cs="Arial"/>
          <w:lang w:val="fr-FR" w:eastAsia="fr-FR"/>
        </w:rPr>
        <w:t xml:space="preserve"> en s’appuyant sur l’article </w:t>
      </w:r>
      <w:r w:rsidR="003C45F8">
        <w:t>100 al. </w:t>
      </w:r>
      <w:r w:rsidRPr="00A2365E">
        <w:t>1 CO</w:t>
      </w:r>
      <w:r w:rsidRPr="003C45F8">
        <w:rPr>
          <w:rStyle w:val="Appelnotedebasdep"/>
          <w:sz w:val="18"/>
          <w:szCs w:val="18"/>
        </w:rPr>
        <w:footnoteReference w:id="32"/>
      </w:r>
      <w:r w:rsidRPr="00A2365E">
        <w:t>.</w:t>
      </w:r>
    </w:p>
    <w:p w:rsidR="004F057D" w:rsidRPr="00A2365E" w:rsidRDefault="004F057D" w:rsidP="006C7CD6">
      <w:pPr>
        <w:spacing w:before="0" w:line="225" w:lineRule="atLeast"/>
        <w:jc w:val="left"/>
        <w:rPr>
          <w:rFonts w:eastAsia="Times New Roman" w:cs="Arial"/>
          <w:lang w:val="fr-FR" w:eastAsia="fr-FR"/>
        </w:rPr>
      </w:pPr>
    </w:p>
    <w:p w:rsidR="00A13224" w:rsidRPr="00A2365E" w:rsidRDefault="00940A2E" w:rsidP="009600A2">
      <w:pPr>
        <w:spacing w:before="0" w:line="225" w:lineRule="atLeast"/>
        <w:ind w:left="426" w:hanging="426"/>
        <w:jc w:val="left"/>
        <w:rPr>
          <w:rFonts w:eastAsia="Times New Roman" w:cs="Arial"/>
          <w:b/>
          <w:lang w:val="fr-FR" w:eastAsia="fr-FR"/>
        </w:rPr>
      </w:pPr>
      <w:r w:rsidRPr="00A2365E">
        <w:rPr>
          <w:rFonts w:eastAsia="Times New Roman" w:cs="Arial"/>
          <w:b/>
          <w:lang w:val="fr-FR" w:eastAsia="fr-FR"/>
        </w:rPr>
        <w:t>b)</w:t>
      </w:r>
      <w:r w:rsidR="009600A2" w:rsidRPr="00A2365E">
        <w:rPr>
          <w:rFonts w:eastAsia="Times New Roman" w:cs="Arial"/>
          <w:b/>
          <w:lang w:val="fr-FR" w:eastAsia="fr-FR"/>
        </w:rPr>
        <w:tab/>
      </w:r>
      <w:r w:rsidR="00A13224" w:rsidRPr="00A2365E">
        <w:rPr>
          <w:rFonts w:eastAsia="Times New Roman" w:cs="Arial"/>
          <w:b/>
          <w:lang w:val="fr-FR" w:eastAsia="fr-FR"/>
        </w:rPr>
        <w:t>L’absence de pé</w:t>
      </w:r>
      <w:r w:rsidR="00121FF0">
        <w:rPr>
          <w:rFonts w:eastAsia="Times New Roman" w:cs="Arial"/>
          <w:b/>
          <w:lang w:val="fr-FR" w:eastAsia="fr-FR"/>
        </w:rPr>
        <w:t>remption des droits de garantie</w:t>
      </w:r>
    </w:p>
    <w:p w:rsidR="00A13224" w:rsidRPr="00A2365E" w:rsidRDefault="00A13224" w:rsidP="006C7CD6">
      <w:pPr>
        <w:spacing w:before="0" w:line="225" w:lineRule="atLeast"/>
        <w:jc w:val="left"/>
        <w:rPr>
          <w:rFonts w:eastAsia="Times New Roman" w:cs="Arial"/>
          <w:lang w:val="fr-FR" w:eastAsia="fr-FR"/>
        </w:rPr>
      </w:pPr>
    </w:p>
    <w:p w:rsidR="00121FF0" w:rsidRDefault="00A2365E" w:rsidP="00A2365E">
      <w:pPr>
        <w:spacing w:before="0" w:line="225" w:lineRule="atLeast"/>
        <w:ind w:left="0" w:firstLine="0"/>
        <w:rPr>
          <w:rFonts w:eastAsia="Times New Roman" w:cs="Arial"/>
          <w:lang w:val="fr-FR" w:eastAsia="fr-FR"/>
        </w:rPr>
      </w:pPr>
      <w:r w:rsidRPr="00A2365E">
        <w:rPr>
          <w:rFonts w:eastAsia="Times New Roman" w:cs="Arial"/>
          <w:lang w:val="fr-FR" w:eastAsia="fr-FR"/>
        </w:rPr>
        <w:t xml:space="preserve">L’acheteur </w:t>
      </w:r>
      <w:r w:rsidR="00121FF0">
        <w:rPr>
          <w:rFonts w:eastAsia="Times New Roman" w:cs="Arial"/>
          <w:lang w:val="fr-FR" w:eastAsia="fr-FR"/>
        </w:rPr>
        <w:t>ou</w:t>
      </w:r>
      <w:r w:rsidRPr="00A2365E">
        <w:rPr>
          <w:rFonts w:eastAsia="Times New Roman" w:cs="Arial"/>
          <w:lang w:val="fr-FR" w:eastAsia="fr-FR"/>
        </w:rPr>
        <w:t xml:space="preserve"> le maître qui entend exercer un droit de garantie que lui reconnaît le contrat ne peut le faire que s’il a satisfait à ses devoirs de vérification et d’avis des défauts. </w:t>
      </w:r>
    </w:p>
    <w:p w:rsidR="00121FF0" w:rsidRDefault="00121FF0" w:rsidP="00A2365E">
      <w:pPr>
        <w:spacing w:before="0" w:line="225" w:lineRule="atLeast"/>
        <w:ind w:left="0" w:firstLine="0"/>
        <w:rPr>
          <w:rFonts w:eastAsia="Times New Roman" w:cs="Arial"/>
          <w:lang w:val="fr-FR" w:eastAsia="fr-FR"/>
        </w:rPr>
      </w:pPr>
    </w:p>
    <w:p w:rsidR="00A2365E" w:rsidRDefault="00A2365E" w:rsidP="00A2365E">
      <w:pPr>
        <w:spacing w:before="0" w:line="225" w:lineRule="atLeast"/>
        <w:ind w:left="0" w:firstLine="0"/>
        <w:rPr>
          <w:rFonts w:eastAsia="Times New Roman" w:cs="Arial"/>
          <w:lang w:val="fr-FR" w:eastAsia="fr-FR"/>
        </w:rPr>
      </w:pPr>
      <w:r w:rsidRPr="00A2365E">
        <w:rPr>
          <w:rFonts w:eastAsia="Times New Roman" w:cs="Arial"/>
          <w:lang w:val="fr-FR" w:eastAsia="fr-FR"/>
        </w:rPr>
        <w:t xml:space="preserve">L’article 201 CO impose à l’acheteur le devoir de vérifier l’état de la chose </w:t>
      </w:r>
      <w:r w:rsidRPr="00A2365E">
        <w:rPr>
          <w:rFonts w:eastAsia="Times New Roman" w:cs="Arial"/>
          <w:i/>
          <w:lang w:val="fr-FR" w:eastAsia="fr-FR"/>
        </w:rPr>
        <w:t>« aussitôt qu’il le peut d’après la marche habituelle des affaires »</w:t>
      </w:r>
      <w:r w:rsidRPr="00A2365E">
        <w:rPr>
          <w:rFonts w:eastAsia="Times New Roman" w:cs="Arial"/>
          <w:lang w:val="fr-FR" w:eastAsia="fr-FR"/>
        </w:rPr>
        <w:t xml:space="preserve"> et d’aviser </w:t>
      </w:r>
      <w:r w:rsidRPr="00A2365E">
        <w:rPr>
          <w:rFonts w:eastAsia="Times New Roman" w:cs="Arial"/>
          <w:i/>
          <w:lang w:val="fr-FR" w:eastAsia="fr-FR"/>
        </w:rPr>
        <w:t>« sans délai »</w:t>
      </w:r>
      <w:r w:rsidRPr="00A2365E">
        <w:rPr>
          <w:rFonts w:eastAsia="Times New Roman" w:cs="Arial"/>
          <w:lang w:val="fr-FR" w:eastAsia="fr-FR"/>
        </w:rPr>
        <w:t xml:space="preserve"> le vendeur s’il découvre un défaut dont ce dernier est garant. L</w:t>
      </w:r>
      <w:r w:rsidR="00FA4E3C">
        <w:rPr>
          <w:rFonts w:eastAsia="Times New Roman" w:cs="Arial"/>
          <w:lang w:val="fr-FR" w:eastAsia="fr-FR"/>
        </w:rPr>
        <w:t xml:space="preserve">es </w:t>
      </w:r>
      <w:r w:rsidRPr="00A2365E">
        <w:rPr>
          <w:rFonts w:eastAsia="Times New Roman" w:cs="Arial"/>
          <w:lang w:val="fr-FR" w:eastAsia="fr-FR"/>
        </w:rPr>
        <w:t>article</w:t>
      </w:r>
      <w:r w:rsidR="00FA4E3C">
        <w:rPr>
          <w:rFonts w:eastAsia="Times New Roman" w:cs="Arial"/>
          <w:lang w:val="fr-FR" w:eastAsia="fr-FR"/>
        </w:rPr>
        <w:t>s</w:t>
      </w:r>
      <w:r w:rsidRPr="00A2365E">
        <w:rPr>
          <w:rFonts w:eastAsia="Times New Roman" w:cs="Arial"/>
          <w:lang w:val="fr-FR" w:eastAsia="fr-FR"/>
        </w:rPr>
        <w:t xml:space="preserve"> 367 </w:t>
      </w:r>
      <w:r w:rsidR="00FA4E3C">
        <w:rPr>
          <w:rFonts w:eastAsia="Times New Roman" w:cs="Arial"/>
          <w:lang w:val="fr-FR" w:eastAsia="fr-FR"/>
        </w:rPr>
        <w:t xml:space="preserve">et 370 </w:t>
      </w:r>
      <w:r w:rsidRPr="00A2365E">
        <w:rPr>
          <w:rFonts w:eastAsia="Times New Roman" w:cs="Arial"/>
          <w:lang w:val="fr-FR" w:eastAsia="fr-FR"/>
        </w:rPr>
        <w:t xml:space="preserve">CO </w:t>
      </w:r>
      <w:r w:rsidR="00FA4E3C">
        <w:rPr>
          <w:rFonts w:eastAsia="Times New Roman" w:cs="Arial"/>
          <w:lang w:val="fr-FR" w:eastAsia="fr-FR"/>
        </w:rPr>
        <w:t>son</w:t>
      </w:r>
      <w:r w:rsidRPr="00A2365E">
        <w:rPr>
          <w:rFonts w:eastAsia="Times New Roman" w:cs="Arial"/>
          <w:lang w:val="fr-FR" w:eastAsia="fr-FR"/>
        </w:rPr>
        <w:t xml:space="preserve">t tout aussi </w:t>
      </w:r>
      <w:r w:rsidRPr="00A2365E">
        <w:rPr>
          <w:rFonts w:eastAsia="Times New Roman" w:cs="Arial"/>
          <w:lang w:val="fr-FR" w:eastAsia="fr-FR"/>
        </w:rPr>
        <w:lastRenderedPageBreak/>
        <w:t>strict</w:t>
      </w:r>
      <w:r w:rsidR="00FA4E3C">
        <w:rPr>
          <w:rFonts w:eastAsia="Times New Roman" w:cs="Arial"/>
          <w:lang w:val="fr-FR" w:eastAsia="fr-FR"/>
        </w:rPr>
        <w:t>s</w:t>
      </w:r>
      <w:r w:rsidRPr="00A2365E">
        <w:rPr>
          <w:rFonts w:eastAsia="Times New Roman" w:cs="Arial"/>
          <w:lang w:val="fr-FR" w:eastAsia="fr-FR"/>
        </w:rPr>
        <w:t xml:space="preserve"> </w:t>
      </w:r>
      <w:r>
        <w:rPr>
          <w:rFonts w:eastAsia="Times New Roman" w:cs="Arial"/>
          <w:lang w:val="fr-FR" w:eastAsia="fr-FR"/>
        </w:rPr>
        <w:t>à l’égard du</w:t>
      </w:r>
      <w:r w:rsidRPr="00A2365E">
        <w:rPr>
          <w:rFonts w:eastAsia="Times New Roman" w:cs="Arial"/>
          <w:lang w:val="fr-FR" w:eastAsia="fr-FR"/>
        </w:rPr>
        <w:t xml:space="preserve"> maître d’ouvrage.</w:t>
      </w:r>
      <w:r w:rsidR="00725B9C">
        <w:rPr>
          <w:rFonts w:eastAsia="Times New Roman" w:cs="Arial"/>
          <w:lang w:val="fr-FR" w:eastAsia="fr-FR"/>
        </w:rPr>
        <w:t xml:space="preserve"> </w:t>
      </w:r>
      <w:r w:rsidR="00725B9C" w:rsidRPr="00A2365E">
        <w:rPr>
          <w:rFonts w:eastAsia="Times New Roman" w:cs="Arial"/>
          <w:lang w:val="fr-FR" w:eastAsia="fr-FR"/>
        </w:rPr>
        <w:t>Le délai d’annonce est très court.</w:t>
      </w:r>
      <w:r w:rsidR="00725B9C">
        <w:rPr>
          <w:rFonts w:eastAsia="Times New Roman" w:cs="Arial"/>
          <w:lang w:val="fr-FR" w:eastAsia="fr-FR"/>
        </w:rPr>
        <w:t xml:space="preserve"> Il est de l’ordre de 7 à 10 jours à compter de la découverte du défaut</w:t>
      </w:r>
      <w:r w:rsidR="00725B9C" w:rsidRPr="00725B9C">
        <w:rPr>
          <w:rStyle w:val="Appelnotedebasdep"/>
          <w:rFonts w:eastAsia="Times New Roman" w:cs="Arial"/>
          <w:sz w:val="18"/>
          <w:szCs w:val="18"/>
          <w:lang w:val="fr-FR" w:eastAsia="fr-FR"/>
        </w:rPr>
        <w:footnoteReference w:id="33"/>
      </w:r>
      <w:r w:rsidR="00725B9C">
        <w:rPr>
          <w:rFonts w:eastAsia="Times New Roman" w:cs="Arial"/>
          <w:lang w:val="fr-FR" w:eastAsia="fr-FR"/>
        </w:rPr>
        <w:t>.</w:t>
      </w:r>
      <w:r w:rsidR="00121FF0">
        <w:rPr>
          <w:rFonts w:eastAsia="Times New Roman" w:cs="Arial"/>
          <w:lang w:val="fr-FR" w:eastAsia="fr-FR"/>
        </w:rPr>
        <w:t xml:space="preserve"> Si l’acheteur ou le maître omet de vérifier la chose et de signaler les défauts en temps utile, ses droits de garantie se périment</w:t>
      </w:r>
      <w:r w:rsidR="00FA4E3C">
        <w:rPr>
          <w:rFonts w:eastAsia="Times New Roman" w:cs="Arial"/>
          <w:lang w:val="fr-FR" w:eastAsia="fr-FR"/>
        </w:rPr>
        <w:t xml:space="preserve"> purement et simplement, libérant du même coup le vendeur, respectivement l’entrepreneur, de toute responsabilité</w:t>
      </w:r>
      <w:r w:rsidR="00121FF0">
        <w:rPr>
          <w:rFonts w:eastAsia="Times New Roman" w:cs="Arial"/>
          <w:lang w:val="fr-FR" w:eastAsia="fr-FR"/>
        </w:rPr>
        <w:t>.</w:t>
      </w:r>
    </w:p>
    <w:p w:rsidR="00121FF0" w:rsidRPr="00A2365E" w:rsidRDefault="00121FF0" w:rsidP="00A2365E">
      <w:pPr>
        <w:spacing w:before="0" w:line="225" w:lineRule="atLeast"/>
        <w:ind w:left="0" w:firstLine="0"/>
        <w:rPr>
          <w:rFonts w:eastAsia="Times New Roman" w:cs="Arial"/>
          <w:lang w:val="fr-FR" w:eastAsia="fr-FR"/>
        </w:rPr>
      </w:pPr>
    </w:p>
    <w:p w:rsidR="009240BD" w:rsidRDefault="009240BD" w:rsidP="00F51B35">
      <w:pPr>
        <w:pStyle w:val="Concerne"/>
        <w:tabs>
          <w:tab w:val="left" w:pos="2009"/>
        </w:tabs>
        <w:rPr>
          <w:szCs w:val="22"/>
        </w:rPr>
      </w:pPr>
      <w:r>
        <w:rPr>
          <w:szCs w:val="22"/>
        </w:rPr>
        <w:t>Cette règlementation s’expliquerait par un besoin de protection du vendeur ou de l’entrepreneur, qui répond des défauts sans faute de sa part et qui, pour ce motif, devrait être fixé le plus rapidement possible sur l’acceptation ou le refus de l’ouvrage</w:t>
      </w:r>
      <w:r w:rsidRPr="009240BD">
        <w:rPr>
          <w:rStyle w:val="Appelnotedebasdep"/>
          <w:sz w:val="18"/>
          <w:szCs w:val="18"/>
        </w:rPr>
        <w:footnoteReference w:id="34"/>
      </w:r>
      <w:r>
        <w:rPr>
          <w:szCs w:val="22"/>
        </w:rPr>
        <w:t xml:space="preserve">. Si tel est le fondement d’une règle aussi sévère pour l’acheteur et le maître, </w:t>
      </w:r>
      <w:r w:rsidR="009A001C">
        <w:rPr>
          <w:szCs w:val="22"/>
        </w:rPr>
        <w:t xml:space="preserve">elle ne saurait à notre sens </w:t>
      </w:r>
      <w:r>
        <w:rPr>
          <w:szCs w:val="22"/>
        </w:rPr>
        <w:t>trouver application lo</w:t>
      </w:r>
      <w:r w:rsidR="00F51B35" w:rsidRPr="00A2365E">
        <w:rPr>
          <w:szCs w:val="22"/>
        </w:rPr>
        <w:t>rsque l</w:t>
      </w:r>
      <w:r>
        <w:rPr>
          <w:szCs w:val="22"/>
        </w:rPr>
        <w:t>e vendeur ou l</w:t>
      </w:r>
      <w:r w:rsidR="00F51B35" w:rsidRPr="00A2365E">
        <w:rPr>
          <w:szCs w:val="22"/>
        </w:rPr>
        <w:t xml:space="preserve">’entrepreneur </w:t>
      </w:r>
      <w:r w:rsidR="00FC3138">
        <w:rPr>
          <w:szCs w:val="22"/>
        </w:rPr>
        <w:t>a dissimulé</w:t>
      </w:r>
      <w:r w:rsidR="00F51B35" w:rsidRPr="00A2365E">
        <w:rPr>
          <w:szCs w:val="22"/>
        </w:rPr>
        <w:t xml:space="preserve"> intentionnellement un défaut</w:t>
      </w:r>
      <w:r>
        <w:rPr>
          <w:szCs w:val="22"/>
        </w:rPr>
        <w:t>. En effet, on ne voit pas pourquoi il conviendrait encore de protéger, au détriment de l’autre partie dont les intérêts sont tout aussi légitimes, celle qui, au mépris des règles de la bonne foi, a volontairement dissimulé un défaut dont elle avait connaissance.</w:t>
      </w:r>
    </w:p>
    <w:p w:rsidR="009240BD" w:rsidRDefault="009240BD" w:rsidP="00F51B35">
      <w:pPr>
        <w:pStyle w:val="Concerne"/>
        <w:tabs>
          <w:tab w:val="left" w:pos="2009"/>
        </w:tabs>
        <w:rPr>
          <w:szCs w:val="22"/>
        </w:rPr>
      </w:pPr>
    </w:p>
    <w:p w:rsidR="009A001C" w:rsidRDefault="009A001C" w:rsidP="00F1037D">
      <w:pPr>
        <w:pStyle w:val="Concerne"/>
        <w:tabs>
          <w:tab w:val="left" w:pos="2009"/>
        </w:tabs>
        <w:rPr>
          <w:szCs w:val="22"/>
        </w:rPr>
      </w:pPr>
      <w:r>
        <w:rPr>
          <w:szCs w:val="22"/>
        </w:rPr>
        <w:t>Avec la doctrine dominante et une partie de la jurisprudence, nous considérons que l</w:t>
      </w:r>
      <w:r w:rsidR="00FC3138">
        <w:rPr>
          <w:szCs w:val="22"/>
        </w:rPr>
        <w:t>’acheteur et l</w:t>
      </w:r>
      <w:r w:rsidR="009240BD">
        <w:rPr>
          <w:szCs w:val="22"/>
        </w:rPr>
        <w:t xml:space="preserve">e maître </w:t>
      </w:r>
      <w:r w:rsidR="00727518" w:rsidRPr="00A2365E">
        <w:rPr>
          <w:szCs w:val="22"/>
        </w:rPr>
        <w:t>n</w:t>
      </w:r>
      <w:r>
        <w:rPr>
          <w:szCs w:val="22"/>
        </w:rPr>
        <w:t>e sont</w:t>
      </w:r>
      <w:r w:rsidR="00FC3138">
        <w:rPr>
          <w:szCs w:val="22"/>
        </w:rPr>
        <w:t xml:space="preserve"> </w:t>
      </w:r>
      <w:r w:rsidR="00727518" w:rsidRPr="00A2365E">
        <w:rPr>
          <w:szCs w:val="22"/>
        </w:rPr>
        <w:t>pas tenu</w:t>
      </w:r>
      <w:r w:rsidR="00FC3138">
        <w:rPr>
          <w:szCs w:val="22"/>
        </w:rPr>
        <w:t>s</w:t>
      </w:r>
      <w:r w:rsidR="00727518" w:rsidRPr="00A2365E">
        <w:rPr>
          <w:szCs w:val="22"/>
        </w:rPr>
        <w:t xml:space="preserve"> </w:t>
      </w:r>
      <w:r w:rsidR="00727518">
        <w:rPr>
          <w:szCs w:val="22"/>
        </w:rPr>
        <w:t>d’</w:t>
      </w:r>
      <w:r w:rsidR="00727518" w:rsidRPr="00A2365E">
        <w:rPr>
          <w:szCs w:val="22"/>
        </w:rPr>
        <w:t xml:space="preserve">aviser </w:t>
      </w:r>
      <w:r w:rsidR="00727518">
        <w:rPr>
          <w:szCs w:val="22"/>
        </w:rPr>
        <w:t xml:space="preserve">sans délai </w:t>
      </w:r>
      <w:r w:rsidR="00727518" w:rsidRPr="00A2365E">
        <w:rPr>
          <w:szCs w:val="22"/>
        </w:rPr>
        <w:t>l</w:t>
      </w:r>
      <w:r w:rsidR="00FC3138">
        <w:rPr>
          <w:szCs w:val="22"/>
        </w:rPr>
        <w:t>e vendeur, respectivement l</w:t>
      </w:r>
      <w:r w:rsidR="00727518" w:rsidRPr="00A2365E">
        <w:rPr>
          <w:szCs w:val="22"/>
        </w:rPr>
        <w:t>’entrepreneur</w:t>
      </w:r>
      <w:r>
        <w:rPr>
          <w:szCs w:val="22"/>
        </w:rPr>
        <w:t>,</w:t>
      </w:r>
      <w:r w:rsidR="00727518" w:rsidRPr="00A2365E">
        <w:rPr>
          <w:szCs w:val="22"/>
        </w:rPr>
        <w:t xml:space="preserve"> </w:t>
      </w:r>
      <w:r w:rsidR="00727518">
        <w:rPr>
          <w:szCs w:val="22"/>
        </w:rPr>
        <w:t>lorsqu’il a affaire à un défaut frauduleusement dissimulé</w:t>
      </w:r>
      <w:r w:rsidR="00727518" w:rsidRPr="00D230B1">
        <w:rPr>
          <w:rStyle w:val="Appelnotedebasdep"/>
          <w:sz w:val="18"/>
          <w:szCs w:val="18"/>
        </w:rPr>
        <w:footnoteReference w:id="35"/>
      </w:r>
      <w:r w:rsidR="00727518">
        <w:rPr>
          <w:szCs w:val="22"/>
        </w:rPr>
        <w:t>.</w:t>
      </w:r>
      <w:r w:rsidR="00FC3138">
        <w:rPr>
          <w:szCs w:val="22"/>
        </w:rPr>
        <w:t xml:space="preserve"> Ils conservent leur</w:t>
      </w:r>
      <w:r w:rsidR="00F1037D">
        <w:rPr>
          <w:szCs w:val="22"/>
        </w:rPr>
        <w:t xml:space="preserve">s droits de garantie, </w:t>
      </w:r>
      <w:r w:rsidR="00FC3138">
        <w:rPr>
          <w:szCs w:val="22"/>
        </w:rPr>
        <w:t>même s’il</w:t>
      </w:r>
      <w:r w:rsidR="00F1037D">
        <w:rPr>
          <w:szCs w:val="22"/>
        </w:rPr>
        <w:t>s</w:t>
      </w:r>
      <w:r w:rsidR="00FC3138">
        <w:rPr>
          <w:szCs w:val="22"/>
        </w:rPr>
        <w:t xml:space="preserve"> n’</w:t>
      </w:r>
      <w:r w:rsidR="00F1037D">
        <w:rPr>
          <w:szCs w:val="22"/>
        </w:rPr>
        <w:t>ont</w:t>
      </w:r>
      <w:r w:rsidR="00FC3138">
        <w:rPr>
          <w:szCs w:val="22"/>
        </w:rPr>
        <w:t xml:space="preserve"> pas donné l’avis des défauts à temps</w:t>
      </w:r>
      <w:r w:rsidR="00F1037D">
        <w:rPr>
          <w:szCs w:val="22"/>
        </w:rPr>
        <w:t>, fût-ce par négligence</w:t>
      </w:r>
      <w:r w:rsidR="00F1037D" w:rsidRPr="00F1037D">
        <w:rPr>
          <w:rStyle w:val="Appelnotedebasdep"/>
          <w:sz w:val="18"/>
          <w:szCs w:val="18"/>
        </w:rPr>
        <w:footnoteReference w:id="36"/>
      </w:r>
      <w:r w:rsidR="003C45F8">
        <w:rPr>
          <w:szCs w:val="22"/>
        </w:rPr>
        <w:t>.</w:t>
      </w:r>
    </w:p>
    <w:p w:rsidR="009A001C" w:rsidRDefault="009A001C" w:rsidP="00F1037D">
      <w:pPr>
        <w:pStyle w:val="Concerne"/>
        <w:tabs>
          <w:tab w:val="left" w:pos="2009"/>
        </w:tabs>
        <w:rPr>
          <w:szCs w:val="22"/>
        </w:rPr>
      </w:pPr>
    </w:p>
    <w:p w:rsidR="00A07EAD" w:rsidRPr="00F1037D" w:rsidRDefault="009A001C" w:rsidP="00F1037D">
      <w:pPr>
        <w:pStyle w:val="Concerne"/>
        <w:tabs>
          <w:tab w:val="left" w:pos="2009"/>
        </w:tabs>
        <w:rPr>
          <w:szCs w:val="22"/>
        </w:rPr>
      </w:pPr>
      <w:r>
        <w:rPr>
          <w:szCs w:val="22"/>
        </w:rPr>
        <w:t>Cette opinion est néanmoins controversée, en dépit selon nous du texte clair de la loi (</w:t>
      </w:r>
      <w:r w:rsidR="003C45F8">
        <w:rPr>
          <w:szCs w:val="22"/>
        </w:rPr>
        <w:t>art. </w:t>
      </w:r>
      <w:r>
        <w:rPr>
          <w:szCs w:val="22"/>
        </w:rPr>
        <w:t xml:space="preserve">203 et </w:t>
      </w:r>
      <w:r w:rsidRPr="009A001C">
        <w:rPr>
          <w:szCs w:val="22"/>
        </w:rPr>
        <w:t xml:space="preserve">370 al. 1 CO). </w:t>
      </w:r>
      <w:r w:rsidR="00D230B1" w:rsidRPr="009A001C">
        <w:rPr>
          <w:szCs w:val="22"/>
        </w:rPr>
        <w:t>Dans un arrêt déjà ancien, l</w:t>
      </w:r>
      <w:r w:rsidRPr="009A001C">
        <w:rPr>
          <w:szCs w:val="22"/>
        </w:rPr>
        <w:t xml:space="preserve">e Tribunal fédéral </w:t>
      </w:r>
      <w:r w:rsidR="00D230B1" w:rsidRPr="009A001C">
        <w:rPr>
          <w:szCs w:val="22"/>
        </w:rPr>
        <w:t xml:space="preserve">avait </w:t>
      </w:r>
      <w:r w:rsidRPr="009A001C">
        <w:rPr>
          <w:szCs w:val="22"/>
        </w:rPr>
        <w:t xml:space="preserve">jugé que </w:t>
      </w:r>
      <w:r w:rsidR="00D230B1" w:rsidRPr="009A001C">
        <w:rPr>
          <w:szCs w:val="22"/>
        </w:rPr>
        <w:t>le maître n’était pas dispensé de signaler ce genre de défaut aussitôt qu’il en a eu connaissance</w:t>
      </w:r>
      <w:r w:rsidR="00D230B1" w:rsidRPr="009A001C">
        <w:rPr>
          <w:rStyle w:val="Appelnotedebasdep"/>
          <w:sz w:val="18"/>
          <w:szCs w:val="18"/>
        </w:rPr>
        <w:footnoteReference w:id="37"/>
      </w:r>
      <w:r w:rsidR="00D230B1" w:rsidRPr="009A001C">
        <w:rPr>
          <w:szCs w:val="22"/>
        </w:rPr>
        <w:t xml:space="preserve">. </w:t>
      </w:r>
      <w:r w:rsidRPr="009A001C">
        <w:rPr>
          <w:szCs w:val="22"/>
        </w:rPr>
        <w:t xml:space="preserve">Depuis, il a néanmoins </w:t>
      </w:r>
      <w:r w:rsidR="00D230B1" w:rsidRPr="009A001C">
        <w:rPr>
          <w:szCs w:val="22"/>
        </w:rPr>
        <w:t>laissé la question ouverte dans un arrêt, certes non publié au recueil officiel, datant de 2005</w:t>
      </w:r>
      <w:r w:rsidR="00D230B1" w:rsidRPr="009A001C">
        <w:rPr>
          <w:rStyle w:val="Appelnotedebasdep"/>
          <w:sz w:val="18"/>
          <w:szCs w:val="18"/>
        </w:rPr>
        <w:footnoteReference w:id="38"/>
      </w:r>
      <w:r w:rsidR="00D230B1" w:rsidRPr="009A001C">
        <w:rPr>
          <w:szCs w:val="22"/>
        </w:rPr>
        <w:t>.</w:t>
      </w:r>
      <w:r w:rsidR="003F31E4">
        <w:rPr>
          <w:szCs w:val="22"/>
        </w:rPr>
        <w:t xml:space="preserve"> </w:t>
      </w:r>
      <w:r w:rsidR="003F31E4">
        <w:t xml:space="preserve">Toutefois, citant </w:t>
      </w:r>
      <w:proofErr w:type="spellStart"/>
      <w:r w:rsidR="003F31E4" w:rsidRPr="00FD506B">
        <w:rPr>
          <w:smallCaps/>
        </w:rPr>
        <w:t>Guhl</w:t>
      </w:r>
      <w:proofErr w:type="spellEnd"/>
      <w:r w:rsidR="003F31E4">
        <w:t>, le Tribunal fédéral a admis quelques jours plus tard qu’une lacune dans l'avis des défauts n'avait aucune conséquence sur les droits de l'acheteur confronté à un défaut frauduleusement dissimulé</w:t>
      </w:r>
      <w:r w:rsidR="003F31E4" w:rsidRPr="003F31E4">
        <w:rPr>
          <w:rStyle w:val="Appelnotedebasdep"/>
          <w:sz w:val="18"/>
          <w:szCs w:val="18"/>
        </w:rPr>
        <w:footnoteReference w:id="39"/>
      </w:r>
      <w:r w:rsidR="003F31E4">
        <w:t>.</w:t>
      </w:r>
    </w:p>
    <w:p w:rsidR="00DF248F" w:rsidRPr="00A2365E" w:rsidRDefault="00DF248F" w:rsidP="00595262">
      <w:pPr>
        <w:spacing w:before="0" w:line="225" w:lineRule="atLeast"/>
        <w:ind w:left="0" w:firstLine="0"/>
        <w:jc w:val="left"/>
        <w:rPr>
          <w:rFonts w:eastAsia="Times New Roman" w:cs="Arial"/>
          <w:lang w:val="fr-FR" w:eastAsia="fr-FR"/>
        </w:rPr>
      </w:pPr>
    </w:p>
    <w:p w:rsidR="00A13224" w:rsidRPr="00A2365E" w:rsidRDefault="00940A2E" w:rsidP="009600A2">
      <w:pPr>
        <w:spacing w:before="0" w:line="225" w:lineRule="atLeast"/>
        <w:ind w:left="426" w:hanging="426"/>
        <w:jc w:val="left"/>
        <w:rPr>
          <w:rFonts w:eastAsia="Times New Roman" w:cs="Arial"/>
          <w:b/>
          <w:lang w:val="fr-FR" w:eastAsia="fr-FR"/>
        </w:rPr>
      </w:pPr>
      <w:r w:rsidRPr="00A2365E">
        <w:rPr>
          <w:rFonts w:eastAsia="Times New Roman" w:cs="Arial"/>
          <w:b/>
          <w:lang w:val="fr-FR" w:eastAsia="fr-FR"/>
        </w:rPr>
        <w:t>c)</w:t>
      </w:r>
      <w:r w:rsidR="009600A2" w:rsidRPr="00A2365E">
        <w:rPr>
          <w:rFonts w:eastAsia="Times New Roman" w:cs="Arial"/>
          <w:b/>
          <w:lang w:val="fr-FR" w:eastAsia="fr-FR"/>
        </w:rPr>
        <w:tab/>
      </w:r>
      <w:r w:rsidR="00A13224" w:rsidRPr="00A2365E">
        <w:rPr>
          <w:rFonts w:eastAsia="Times New Roman" w:cs="Arial"/>
          <w:b/>
          <w:lang w:val="fr-FR" w:eastAsia="fr-FR"/>
        </w:rPr>
        <w:t>La prescription</w:t>
      </w:r>
    </w:p>
    <w:p w:rsidR="00A13224" w:rsidRPr="00A2365E" w:rsidRDefault="00A13224" w:rsidP="006C7CD6">
      <w:pPr>
        <w:spacing w:before="0" w:line="225" w:lineRule="atLeast"/>
        <w:jc w:val="left"/>
        <w:rPr>
          <w:rFonts w:eastAsia="Times New Roman" w:cs="Arial"/>
          <w:lang w:val="fr-FR" w:eastAsia="fr-FR"/>
        </w:rPr>
      </w:pPr>
    </w:p>
    <w:p w:rsidR="00595262" w:rsidRDefault="00F1037D" w:rsidP="009A7DFA">
      <w:pPr>
        <w:spacing w:before="0" w:line="225" w:lineRule="atLeast"/>
        <w:ind w:left="0" w:firstLine="0"/>
      </w:pPr>
      <w:r>
        <w:t>Depuis l’entrée en vigueur le 1</w:t>
      </w:r>
      <w:r w:rsidRPr="00F1037D">
        <w:rPr>
          <w:vertAlign w:val="superscript"/>
        </w:rPr>
        <w:t>er</w:t>
      </w:r>
      <w:r>
        <w:t xml:space="preserve"> janvier 2013 de la modification du Code des obligations du 16 mars 2012 sur les articles 210 et 371 CO, l</w:t>
      </w:r>
      <w:r w:rsidR="001E6599" w:rsidRPr="00A2365E">
        <w:t>’action en garantie dirigée contre le vendeur se prescrit par deux ans à compter de la livraison d’une chose mobilière (art. 210 al. 1 CO) et par cinq ans si la chose mobilière vendue est intégrée dans un ouvrage immobilier (art. 210 al. 2 CO) ou si la vente porte sur u</w:t>
      </w:r>
      <w:r w:rsidR="00595262">
        <w:t>n immeuble (art. 219 al. 3 CO).</w:t>
      </w:r>
    </w:p>
    <w:p w:rsidR="00595262" w:rsidRDefault="00595262" w:rsidP="009A7DFA">
      <w:pPr>
        <w:spacing w:before="0" w:line="225" w:lineRule="atLeast"/>
        <w:ind w:left="0" w:firstLine="0"/>
      </w:pPr>
    </w:p>
    <w:p w:rsidR="00595262" w:rsidRDefault="001E6599" w:rsidP="009A7DFA">
      <w:pPr>
        <w:spacing w:before="0" w:line="225" w:lineRule="atLeast"/>
        <w:ind w:left="0" w:firstLine="0"/>
      </w:pPr>
      <w:r w:rsidRPr="00A2365E">
        <w:lastRenderedPageBreak/>
        <w:t xml:space="preserve">L’action en garantie dirigée contre l’entrepreneur se prescrit </w:t>
      </w:r>
      <w:r w:rsidR="00F1037D">
        <w:t xml:space="preserve">désormais </w:t>
      </w:r>
      <w:r w:rsidRPr="00A2365E">
        <w:t>par deux ans si la livraison porte sur un ouvrage mobilier (art. 371 al. 1 CO), par cinq ans s’il s’agit d’u</w:t>
      </w:r>
      <w:r w:rsidR="00F94465">
        <w:t>n immeuble (art. 371 al. 2 CO)</w:t>
      </w:r>
      <w:r w:rsidR="00403453" w:rsidRPr="003C45F8">
        <w:rPr>
          <w:rStyle w:val="Appelnotedebasdep"/>
          <w:sz w:val="18"/>
          <w:szCs w:val="18"/>
        </w:rPr>
        <w:footnoteReference w:id="40"/>
      </w:r>
      <w:r w:rsidR="00F94465">
        <w:t>.</w:t>
      </w:r>
    </w:p>
    <w:p w:rsidR="00595262" w:rsidRDefault="00595262" w:rsidP="009A7DFA">
      <w:pPr>
        <w:spacing w:before="0" w:line="225" w:lineRule="atLeast"/>
        <w:ind w:left="0" w:firstLine="0"/>
      </w:pPr>
    </w:p>
    <w:p w:rsidR="001F3345" w:rsidRDefault="001E6599" w:rsidP="009A7DFA">
      <w:pPr>
        <w:spacing w:before="0" w:line="225" w:lineRule="atLeast"/>
        <w:ind w:left="0" w:firstLine="0"/>
      </w:pPr>
      <w:r w:rsidRPr="00A2365E">
        <w:t>Toutefois</w:t>
      </w:r>
      <w:r w:rsidR="00F1037D">
        <w:t xml:space="preserve"> – et c’est nouveau –</w:t>
      </w:r>
      <w:r w:rsidRPr="00A2365E">
        <w:t xml:space="preserve"> ni le vendeur ni l’entrepreneur ne peuvent invoquer la prescription s’il est prouvé qu’ils ont induit leur cocontractant en erreur intentionnellement (art. 210 al. </w:t>
      </w:r>
      <w:r w:rsidR="001F3345">
        <w:t>6</w:t>
      </w:r>
      <w:r w:rsidRPr="00A2365E">
        <w:t xml:space="preserve"> et 371 al. 3 CO).</w:t>
      </w:r>
      <w:r w:rsidR="00F94465">
        <w:t xml:space="preserve"> </w:t>
      </w:r>
      <w:r w:rsidR="00F1037D">
        <w:t xml:space="preserve">Jusqu’au 31 décembre 2012, la loi (art. 210 al. 3 </w:t>
      </w:r>
      <w:proofErr w:type="spellStart"/>
      <w:r w:rsidR="00F1037D">
        <w:t>aCO</w:t>
      </w:r>
      <w:proofErr w:type="spellEnd"/>
      <w:r w:rsidR="00F1037D">
        <w:t>) et la jurisprudence soumettai</w:t>
      </w:r>
      <w:r w:rsidR="001F3345">
        <w:t>en</w:t>
      </w:r>
      <w:r w:rsidR="00F1037D">
        <w:t xml:space="preserve">t au délai de prescription décennal de l’article 127 CO </w:t>
      </w:r>
      <w:r w:rsidR="00403453">
        <w:t xml:space="preserve">l’action en garantie de l’acheteur et du maître fondée sur un défaut intentionnellement dissimulé. </w:t>
      </w:r>
      <w:r w:rsidR="001F3345">
        <w:t>Avec le nouveau droit, u</w:t>
      </w:r>
      <w:r w:rsidR="00403453">
        <w:t xml:space="preserve">ne telle action serait désormais imprescriptible lorsqu’elle </w:t>
      </w:r>
      <w:r w:rsidR="001F3345">
        <w:t>porte sur un tel défaut.</w:t>
      </w:r>
    </w:p>
    <w:p w:rsidR="001F3345" w:rsidRDefault="001F3345" w:rsidP="009A7DFA">
      <w:pPr>
        <w:spacing w:before="0" w:line="225" w:lineRule="atLeast"/>
        <w:ind w:left="0" w:firstLine="0"/>
      </w:pPr>
    </w:p>
    <w:p w:rsidR="00403453" w:rsidRPr="00403453" w:rsidRDefault="00403453" w:rsidP="009A7DFA">
      <w:pPr>
        <w:spacing w:before="0" w:line="225" w:lineRule="atLeast"/>
        <w:ind w:left="0" w:firstLine="0"/>
      </w:pPr>
      <w:r>
        <w:t xml:space="preserve">Selon nous, </w:t>
      </w:r>
      <w:r w:rsidR="001F3345">
        <w:t xml:space="preserve">l’imprescriptibilité consacrée par </w:t>
      </w:r>
      <w:r>
        <w:t xml:space="preserve">l’article 210 al. 6 CO, applicable au contrat d’entreprise par renvoi de l’article 371 al. 3 CO, </w:t>
      </w:r>
      <w:r w:rsidR="001F3345">
        <w:t xml:space="preserve">s’applique aussi lorsque les parties ont soumis la Norme SIA 118 à leur contrat. L’article 210 al. 6 CO </w:t>
      </w:r>
      <w:r>
        <w:t xml:space="preserve">l’emporte </w:t>
      </w:r>
      <w:r w:rsidR="001F3345">
        <w:t xml:space="preserve">en effet </w:t>
      </w:r>
      <w:r>
        <w:t xml:space="preserve">sur l’article 180 al. 2 SIA-118, </w:t>
      </w:r>
      <w:r w:rsidR="001F3345">
        <w:t xml:space="preserve">soit une norme de rang contractuel </w:t>
      </w:r>
      <w:r>
        <w:t xml:space="preserve">qui soumettait jusqu’ici les </w:t>
      </w:r>
      <w:r w:rsidR="00F94465">
        <w:t>droits du maître résultant de défauts que l’entrepreneur a intentionnellement dissimulé</w:t>
      </w:r>
      <w:r w:rsidR="001F3345">
        <w:t>s</w:t>
      </w:r>
      <w:r w:rsidR="00F94465">
        <w:t xml:space="preserve"> </w:t>
      </w:r>
      <w:r>
        <w:t xml:space="preserve">au délai de prescription de </w:t>
      </w:r>
      <w:r w:rsidR="00F94465">
        <w:t>dix ans à compter de la réception de l’</w:t>
      </w:r>
      <w:r>
        <w:t>ouvrage</w:t>
      </w:r>
      <w:r w:rsidR="00F94465">
        <w:t>.</w:t>
      </w:r>
    </w:p>
    <w:p w:rsidR="00403453" w:rsidRPr="00A2365E" w:rsidRDefault="00403453" w:rsidP="009A7DFA">
      <w:pPr>
        <w:spacing w:before="0" w:line="225" w:lineRule="atLeast"/>
        <w:ind w:left="0" w:firstLine="0"/>
        <w:rPr>
          <w:rFonts w:eastAsia="Times New Roman" w:cs="Arial"/>
          <w:lang w:val="fr-FR" w:eastAsia="fr-FR"/>
        </w:rPr>
      </w:pPr>
    </w:p>
    <w:p w:rsidR="00A13224" w:rsidRPr="00A2365E" w:rsidRDefault="00940A2E" w:rsidP="009600A2">
      <w:pPr>
        <w:spacing w:before="0" w:line="225" w:lineRule="atLeast"/>
        <w:ind w:left="426" w:hanging="426"/>
        <w:jc w:val="left"/>
        <w:rPr>
          <w:rFonts w:eastAsia="Times New Roman" w:cs="Arial"/>
          <w:b/>
          <w:lang w:val="fr-FR" w:eastAsia="fr-FR"/>
        </w:rPr>
      </w:pPr>
      <w:r w:rsidRPr="00A2365E">
        <w:rPr>
          <w:rFonts w:eastAsia="Times New Roman" w:cs="Arial"/>
          <w:b/>
          <w:lang w:val="fr-FR" w:eastAsia="fr-FR"/>
        </w:rPr>
        <w:t>IV.</w:t>
      </w:r>
      <w:r w:rsidR="009600A2" w:rsidRPr="00A2365E">
        <w:rPr>
          <w:rFonts w:eastAsia="Times New Roman" w:cs="Arial"/>
          <w:b/>
          <w:lang w:val="fr-FR" w:eastAsia="fr-FR"/>
        </w:rPr>
        <w:tab/>
        <w:t>Conclusion</w:t>
      </w:r>
    </w:p>
    <w:p w:rsidR="007F483B" w:rsidRDefault="007F483B" w:rsidP="00595262">
      <w:pPr>
        <w:spacing w:before="0" w:line="225" w:lineRule="atLeast"/>
        <w:ind w:left="0" w:firstLine="0"/>
        <w:rPr>
          <w:rFonts w:eastAsia="Times New Roman" w:cs="Arial"/>
          <w:lang w:val="fr-FR" w:eastAsia="fr-FR"/>
        </w:rPr>
      </w:pPr>
    </w:p>
    <w:p w:rsidR="00EB14F0" w:rsidRDefault="002F2E2A" w:rsidP="00595262">
      <w:pPr>
        <w:spacing w:before="0" w:line="225" w:lineRule="atLeast"/>
        <w:ind w:left="0" w:firstLine="0"/>
        <w:rPr>
          <w:rFonts w:eastAsia="Times New Roman" w:cs="Arial"/>
          <w:lang w:val="fr-FR" w:eastAsia="fr-FR"/>
        </w:rPr>
      </w:pPr>
      <w:r>
        <w:rPr>
          <w:rFonts w:eastAsia="Times New Roman" w:cs="Arial"/>
          <w:lang w:val="fr-FR" w:eastAsia="fr-FR"/>
        </w:rPr>
        <w:t xml:space="preserve">Il peut être intéressant pour un acheteur ou un maître d’ouvrage de soutenir que le défaut qui affecte le bien qu’il a acquis ou dont il a reçu livraison lui a été frauduleusement dissimulé </w:t>
      </w:r>
      <w:r w:rsidR="00EB14F0">
        <w:rPr>
          <w:rFonts w:eastAsia="Times New Roman" w:cs="Arial"/>
          <w:lang w:val="fr-FR" w:eastAsia="fr-FR"/>
        </w:rPr>
        <w:t>par son partenaire contractuel.</w:t>
      </w:r>
    </w:p>
    <w:p w:rsidR="00EB14F0" w:rsidRDefault="00EB14F0" w:rsidP="00595262">
      <w:pPr>
        <w:spacing w:before="0" w:line="225" w:lineRule="atLeast"/>
        <w:ind w:left="0" w:firstLine="0"/>
        <w:rPr>
          <w:rFonts w:eastAsia="Times New Roman" w:cs="Arial"/>
          <w:lang w:val="fr-FR" w:eastAsia="fr-FR"/>
        </w:rPr>
      </w:pPr>
    </w:p>
    <w:p w:rsidR="00EB14F0" w:rsidRDefault="002F2E2A" w:rsidP="00595262">
      <w:pPr>
        <w:spacing w:before="0" w:line="225" w:lineRule="atLeast"/>
        <w:ind w:left="0" w:firstLine="0"/>
        <w:rPr>
          <w:rFonts w:eastAsia="Times New Roman" w:cs="Arial"/>
          <w:lang w:val="fr-FR" w:eastAsia="fr-FR"/>
        </w:rPr>
      </w:pPr>
      <w:r>
        <w:rPr>
          <w:rFonts w:eastAsia="Times New Roman" w:cs="Arial"/>
          <w:lang w:val="fr-FR" w:eastAsia="fr-FR"/>
        </w:rPr>
        <w:t xml:space="preserve">Cela dit, cette preuve peut se révéler difficile à administrer puisqu’elle revient à établir ce que chaque partie savait au moment du transfert des risques, respectivement de la livraison d’une part, ce que l’acheteur ou le maître aurait pu découvrir de lui-même </w:t>
      </w:r>
      <w:r w:rsidR="00EB14F0">
        <w:rPr>
          <w:rFonts w:eastAsia="Times New Roman" w:cs="Arial"/>
          <w:lang w:val="fr-FR" w:eastAsia="fr-FR"/>
        </w:rPr>
        <w:t>en faisant preuve de l’attention commandée par les circonstances d’autres part.</w:t>
      </w:r>
    </w:p>
    <w:p w:rsidR="00EB14F0" w:rsidRDefault="00EB14F0" w:rsidP="00595262">
      <w:pPr>
        <w:spacing w:before="0" w:line="225" w:lineRule="atLeast"/>
        <w:ind w:left="0" w:firstLine="0"/>
        <w:rPr>
          <w:rFonts w:eastAsia="Times New Roman" w:cs="Arial"/>
          <w:lang w:val="fr-FR" w:eastAsia="fr-FR"/>
        </w:rPr>
      </w:pPr>
    </w:p>
    <w:p w:rsidR="00595262" w:rsidRPr="00595262" w:rsidRDefault="002F2E2A" w:rsidP="00595262">
      <w:pPr>
        <w:spacing w:before="0" w:line="225" w:lineRule="atLeast"/>
        <w:ind w:left="0" w:firstLine="0"/>
        <w:rPr>
          <w:rFonts w:eastAsia="Times New Roman" w:cs="Arial"/>
          <w:lang w:val="fr-FR" w:eastAsia="fr-FR"/>
        </w:rPr>
      </w:pPr>
      <w:r>
        <w:rPr>
          <w:rFonts w:eastAsia="Times New Roman" w:cs="Arial"/>
          <w:lang w:val="fr-FR" w:eastAsia="fr-FR"/>
        </w:rPr>
        <w:t>S</w:t>
      </w:r>
      <w:r w:rsidR="00EB14F0">
        <w:rPr>
          <w:rFonts w:eastAsia="Times New Roman" w:cs="Arial"/>
          <w:lang w:val="fr-FR" w:eastAsia="fr-FR"/>
        </w:rPr>
        <w:t xml:space="preserve">i l’acheteur ou le maître </w:t>
      </w:r>
      <w:r>
        <w:rPr>
          <w:rFonts w:eastAsia="Times New Roman" w:cs="Arial"/>
          <w:lang w:val="fr-FR" w:eastAsia="fr-FR"/>
        </w:rPr>
        <w:t>parvient</w:t>
      </w:r>
      <w:r w:rsidR="001F3345">
        <w:rPr>
          <w:rFonts w:eastAsia="Times New Roman" w:cs="Arial"/>
          <w:lang w:val="fr-FR" w:eastAsia="fr-FR"/>
        </w:rPr>
        <w:t xml:space="preserve"> à prouver qu’il est victime d’un défaut frauduleusement dissimulé</w:t>
      </w:r>
      <w:r>
        <w:rPr>
          <w:rFonts w:eastAsia="Times New Roman" w:cs="Arial"/>
          <w:lang w:val="fr-FR" w:eastAsia="fr-FR"/>
        </w:rPr>
        <w:t xml:space="preserve">, </w:t>
      </w:r>
      <w:r w:rsidR="00EB14F0">
        <w:rPr>
          <w:rFonts w:eastAsia="Times New Roman" w:cs="Arial"/>
          <w:lang w:val="fr-FR" w:eastAsia="fr-FR"/>
        </w:rPr>
        <w:t>il p</w:t>
      </w:r>
      <w:r>
        <w:rPr>
          <w:rFonts w:eastAsia="Times New Roman" w:cs="Arial"/>
          <w:lang w:val="fr-FR" w:eastAsia="fr-FR"/>
        </w:rPr>
        <w:t>ourra</w:t>
      </w:r>
      <w:r w:rsidR="00EB14F0">
        <w:rPr>
          <w:rFonts w:eastAsia="Times New Roman" w:cs="Arial"/>
          <w:lang w:val="fr-FR" w:eastAsia="fr-FR"/>
        </w:rPr>
        <w:t xml:space="preserve"> en tirer avantage en se voyant reconnaître des d</w:t>
      </w:r>
      <w:r>
        <w:rPr>
          <w:rFonts w:eastAsia="Times New Roman" w:cs="Arial"/>
          <w:lang w:val="fr-FR" w:eastAsia="fr-FR"/>
        </w:rPr>
        <w:t xml:space="preserve">roits de garantie dont il </w:t>
      </w:r>
      <w:r w:rsidR="00EB14F0">
        <w:rPr>
          <w:rFonts w:eastAsia="Times New Roman" w:cs="Arial"/>
          <w:lang w:val="fr-FR" w:eastAsia="fr-FR"/>
        </w:rPr>
        <w:t xml:space="preserve">aurait </w:t>
      </w:r>
      <w:r>
        <w:rPr>
          <w:rFonts w:eastAsia="Times New Roman" w:cs="Arial"/>
          <w:lang w:val="fr-FR" w:eastAsia="fr-FR"/>
        </w:rPr>
        <w:t xml:space="preserve">sinon </w:t>
      </w:r>
      <w:r w:rsidR="00EB14F0">
        <w:rPr>
          <w:rFonts w:eastAsia="Times New Roman" w:cs="Arial"/>
          <w:lang w:val="fr-FR" w:eastAsia="fr-FR"/>
        </w:rPr>
        <w:t xml:space="preserve">été </w:t>
      </w:r>
      <w:r>
        <w:rPr>
          <w:rFonts w:eastAsia="Times New Roman" w:cs="Arial"/>
          <w:lang w:val="fr-FR" w:eastAsia="fr-FR"/>
        </w:rPr>
        <w:t>dépourvu en vertu d’une clause exclusive ou restrictive de responsabilité, de la tardiveté de l’avis des défauts ou de la prescription.</w:t>
      </w:r>
    </w:p>
    <w:sectPr w:rsidR="00595262" w:rsidRPr="00595262" w:rsidSect="00D33C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45" w:rsidRDefault="001F3345" w:rsidP="009310DF">
      <w:pPr>
        <w:spacing w:before="0"/>
      </w:pPr>
      <w:r>
        <w:separator/>
      </w:r>
    </w:p>
  </w:endnote>
  <w:endnote w:type="continuationSeparator" w:id="0">
    <w:p w:rsidR="001F3345" w:rsidRDefault="001F3345" w:rsidP="009310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45" w:rsidRDefault="001F3345" w:rsidP="009310DF">
      <w:pPr>
        <w:spacing w:before="0"/>
      </w:pPr>
      <w:r>
        <w:separator/>
      </w:r>
    </w:p>
  </w:footnote>
  <w:footnote w:type="continuationSeparator" w:id="0">
    <w:p w:rsidR="001F3345" w:rsidRDefault="001F3345" w:rsidP="009310DF">
      <w:pPr>
        <w:spacing w:before="0"/>
      </w:pPr>
      <w:r>
        <w:continuationSeparator/>
      </w:r>
    </w:p>
  </w:footnote>
  <w:footnote w:id="1">
    <w:p w:rsidR="001F3345" w:rsidRDefault="001F3345">
      <w:pPr>
        <w:pStyle w:val="Notedebasdepage"/>
      </w:pPr>
      <w:r>
        <w:rPr>
          <w:rStyle w:val="Appelnotedebasdep"/>
        </w:rPr>
        <w:footnoteRef/>
      </w:r>
      <w:r>
        <w:tab/>
      </w:r>
      <w:r w:rsidRPr="00F22613">
        <w:rPr>
          <w:rFonts w:cs="Arial"/>
          <w:smallCaps/>
        </w:rPr>
        <w:t>Guignard</w:t>
      </w:r>
      <w:r>
        <w:t>, La garantie pour les défauts, in Journées suisses du droit de la construction 2013, p. 1 </w:t>
      </w:r>
      <w:proofErr w:type="spellStart"/>
      <w:r>
        <w:t>ss</w:t>
      </w:r>
      <w:proofErr w:type="spellEnd"/>
      <w:r>
        <w:t>, p. 9.</w:t>
      </w:r>
    </w:p>
  </w:footnote>
  <w:footnote w:id="2">
    <w:p w:rsidR="001F3345" w:rsidRDefault="001F3345">
      <w:pPr>
        <w:pStyle w:val="Notedebasdepage"/>
      </w:pPr>
      <w:r>
        <w:rPr>
          <w:rStyle w:val="Appelnotedebasdep"/>
        </w:rPr>
        <w:footnoteRef/>
      </w:r>
      <w:r>
        <w:tab/>
        <w:t xml:space="preserve">TF 4A_619/2013 (20.05.2014) cons. 4.1; </w:t>
      </w:r>
      <w:r>
        <w:rPr>
          <w:rFonts w:eastAsia="Times New Roman" w:cs="Arial"/>
          <w:lang w:val="fr-FR" w:eastAsia="fr-FR"/>
        </w:rPr>
        <w:t>TF 4A_301/2010 (0</w:t>
      </w:r>
      <w:r w:rsidRPr="007F483B">
        <w:rPr>
          <w:rFonts w:eastAsia="Times New Roman" w:cs="Arial"/>
          <w:lang w:val="fr-FR" w:eastAsia="fr-FR"/>
        </w:rPr>
        <w:t>7</w:t>
      </w:r>
      <w:r>
        <w:rPr>
          <w:rFonts w:eastAsia="Times New Roman" w:cs="Arial"/>
          <w:lang w:val="fr-FR" w:eastAsia="fr-FR"/>
        </w:rPr>
        <w:t>.09.</w:t>
      </w:r>
      <w:r w:rsidRPr="007F483B">
        <w:rPr>
          <w:rFonts w:eastAsia="Times New Roman" w:cs="Arial"/>
          <w:lang w:val="fr-FR" w:eastAsia="fr-FR"/>
        </w:rPr>
        <w:t>2010</w:t>
      </w:r>
      <w:r>
        <w:rPr>
          <w:rFonts w:eastAsia="Times New Roman" w:cs="Arial"/>
          <w:lang w:val="fr-FR" w:eastAsia="fr-FR"/>
        </w:rPr>
        <w:t>) cons. 3.2, in SJ 2011 I 17</w:t>
      </w:r>
      <w:r w:rsidRPr="007F483B">
        <w:rPr>
          <w:rFonts w:eastAsia="Times New Roman" w:cs="Arial"/>
          <w:lang w:val="fr-FR" w:eastAsia="fr-FR"/>
        </w:rPr>
        <w:t xml:space="preserve">; </w:t>
      </w:r>
      <w:r w:rsidRPr="00F22613">
        <w:rPr>
          <w:rFonts w:eastAsia="Times New Roman" w:cs="Arial"/>
          <w:smallCaps/>
          <w:lang w:val="fr-FR" w:eastAsia="fr-FR"/>
        </w:rPr>
        <w:t>Venturi/Zen-</w:t>
      </w:r>
      <w:proofErr w:type="spellStart"/>
      <w:r w:rsidRPr="00F22613">
        <w:rPr>
          <w:rFonts w:eastAsia="Times New Roman" w:cs="Arial"/>
          <w:smallCaps/>
          <w:lang w:val="fr-FR" w:eastAsia="fr-FR"/>
        </w:rPr>
        <w:t>Ruffinen</w:t>
      </w:r>
      <w:proofErr w:type="spellEnd"/>
      <w:r w:rsidRPr="007F483B">
        <w:rPr>
          <w:rFonts w:eastAsia="Times New Roman" w:cs="Arial"/>
          <w:lang w:val="fr-FR" w:eastAsia="fr-FR"/>
        </w:rPr>
        <w:t xml:space="preserve">, </w:t>
      </w:r>
      <w:r>
        <w:rPr>
          <w:rFonts w:eastAsia="Times New Roman" w:cs="Arial"/>
          <w:lang w:val="fr-FR" w:eastAsia="fr-FR"/>
        </w:rPr>
        <w:t>in Commentaire romand, 2</w:t>
      </w:r>
      <w:r w:rsidRPr="00457515">
        <w:rPr>
          <w:rFonts w:eastAsia="Times New Roman" w:cs="Arial"/>
          <w:vertAlign w:val="superscript"/>
          <w:lang w:val="fr-FR" w:eastAsia="fr-FR"/>
        </w:rPr>
        <w:t>ème</w:t>
      </w:r>
      <w:r>
        <w:rPr>
          <w:rFonts w:eastAsia="Times New Roman" w:cs="Arial"/>
          <w:lang w:val="fr-FR" w:eastAsia="fr-FR"/>
        </w:rPr>
        <w:t xml:space="preserve"> éd. 2012</w:t>
      </w:r>
      <w:r w:rsidRPr="007F483B">
        <w:rPr>
          <w:rFonts w:eastAsia="Times New Roman" w:cs="Arial"/>
          <w:lang w:val="fr-FR" w:eastAsia="fr-FR"/>
        </w:rPr>
        <w:t>, n</w:t>
      </w:r>
      <w:r>
        <w:rPr>
          <w:rFonts w:eastAsia="Times New Roman" w:cs="Arial"/>
          <w:lang w:val="fr-FR" w:eastAsia="fr-FR"/>
        </w:rPr>
        <w:t>.</w:t>
      </w:r>
      <w:r w:rsidRPr="007F483B">
        <w:rPr>
          <w:rFonts w:eastAsia="Times New Roman" w:cs="Arial"/>
          <w:lang w:val="fr-FR" w:eastAsia="fr-FR"/>
        </w:rPr>
        <w:t xml:space="preserve"> 3 ad art. 199 CO; </w:t>
      </w:r>
      <w:proofErr w:type="spellStart"/>
      <w:r w:rsidRPr="00F22613">
        <w:rPr>
          <w:rFonts w:eastAsia="Times New Roman" w:cs="Arial"/>
          <w:smallCaps/>
          <w:lang w:val="fr-FR" w:eastAsia="fr-FR"/>
        </w:rPr>
        <w:t>Pedrazzini</w:t>
      </w:r>
      <w:proofErr w:type="spellEnd"/>
      <w:r w:rsidRPr="007F483B">
        <w:rPr>
          <w:rFonts w:eastAsia="Times New Roman" w:cs="Arial"/>
          <w:lang w:val="fr-FR" w:eastAsia="fr-FR"/>
        </w:rPr>
        <w:t>, La dissimulation des défauts, 1992, n</w:t>
      </w:r>
      <w:r>
        <w:rPr>
          <w:rFonts w:eastAsia="Times New Roman" w:cs="Arial"/>
          <w:lang w:val="fr-FR" w:eastAsia="fr-FR"/>
        </w:rPr>
        <w:t>.</w:t>
      </w:r>
      <w:r w:rsidRPr="007F483B">
        <w:rPr>
          <w:rFonts w:eastAsia="Times New Roman" w:cs="Arial"/>
          <w:lang w:val="fr-FR" w:eastAsia="fr-FR"/>
        </w:rPr>
        <w:t xml:space="preserve"> 40 </w:t>
      </w:r>
      <w:proofErr w:type="spellStart"/>
      <w:r w:rsidRPr="007F483B">
        <w:rPr>
          <w:rFonts w:eastAsia="Times New Roman" w:cs="Arial"/>
          <w:lang w:val="fr-FR" w:eastAsia="fr-FR"/>
        </w:rPr>
        <w:t>ss</w:t>
      </w:r>
      <w:proofErr w:type="spellEnd"/>
      <w:r w:rsidRPr="007F483B">
        <w:rPr>
          <w:rFonts w:eastAsia="Times New Roman" w:cs="Arial"/>
          <w:lang w:val="fr-FR" w:eastAsia="fr-FR"/>
        </w:rPr>
        <w:t xml:space="preserve">, 85 et 486 </w:t>
      </w:r>
      <w:proofErr w:type="spellStart"/>
      <w:r w:rsidRPr="007F483B">
        <w:rPr>
          <w:rFonts w:eastAsia="Times New Roman" w:cs="Arial"/>
          <w:lang w:val="fr-FR" w:eastAsia="fr-FR"/>
        </w:rPr>
        <w:t>ss</w:t>
      </w:r>
      <w:proofErr w:type="spellEnd"/>
      <w:r>
        <w:rPr>
          <w:rFonts w:eastAsia="Times New Roman" w:cs="Arial"/>
          <w:lang w:val="fr-FR" w:eastAsia="fr-FR"/>
        </w:rPr>
        <w:t>.</w:t>
      </w:r>
    </w:p>
  </w:footnote>
  <w:footnote w:id="3">
    <w:p w:rsidR="001F3345" w:rsidRDefault="001F3345" w:rsidP="00076919">
      <w:pPr>
        <w:pStyle w:val="Notedebasdepage"/>
      </w:pPr>
      <w:r>
        <w:rPr>
          <w:rStyle w:val="Appelnotedebasdep"/>
        </w:rPr>
        <w:footnoteRef/>
      </w:r>
      <w:r>
        <w:tab/>
      </w:r>
      <w:r w:rsidRPr="003C45F8">
        <w:t>ATF 114 II 239</w:t>
      </w:r>
      <w:r>
        <w:t xml:space="preserve"> cons. 5a/</w:t>
      </w:r>
      <w:proofErr w:type="spellStart"/>
      <w:r>
        <w:t>aa</w:t>
      </w:r>
      <w:proofErr w:type="spellEnd"/>
      <w:r>
        <w:t>.</w:t>
      </w:r>
    </w:p>
  </w:footnote>
  <w:footnote w:id="4">
    <w:p w:rsidR="001F3345" w:rsidRDefault="001F3345" w:rsidP="00F905B6">
      <w:pPr>
        <w:pStyle w:val="Notedebasdepage"/>
      </w:pPr>
      <w:r>
        <w:rPr>
          <w:rStyle w:val="Appelnotedebasdep"/>
        </w:rPr>
        <w:footnoteRef/>
      </w:r>
      <w:r>
        <w:tab/>
        <w:t>TF 4A_622/2012 (18.01.2013) cons. 3.2, in SJ 2013 I 454, dans lequel le Tribunal fédéral précise que l’ignorance du vendeur due à une négligence même grave de sa part ne suffit pas. La doctrine réserve toutefois le cas où le vendeur (ou l’entrepreneur) évite volontairement d’être mieux informé (</w:t>
      </w:r>
      <w:proofErr w:type="spellStart"/>
      <w:r w:rsidRPr="00F94465">
        <w:rPr>
          <w:smallCaps/>
        </w:rPr>
        <w:t>Gauch</w:t>
      </w:r>
      <w:proofErr w:type="spellEnd"/>
      <w:r>
        <w:t xml:space="preserve">, Der </w:t>
      </w:r>
      <w:proofErr w:type="spellStart"/>
      <w:r>
        <w:t>Werkvertrag</w:t>
      </w:r>
      <w:proofErr w:type="spellEnd"/>
      <w:r>
        <w:t>, 5</w:t>
      </w:r>
      <w:r w:rsidRPr="00EF0D74">
        <w:rPr>
          <w:vertAlign w:val="superscript"/>
        </w:rPr>
        <w:t>ème</w:t>
      </w:r>
      <w:r>
        <w:t xml:space="preserve"> éd., 2011, Zurich, n. 2092).</w:t>
      </w:r>
    </w:p>
  </w:footnote>
  <w:footnote w:id="5">
    <w:p w:rsidR="001F3345" w:rsidRDefault="001F3345" w:rsidP="00F905B6">
      <w:pPr>
        <w:pStyle w:val="Notedebasdepage"/>
      </w:pPr>
      <w:r>
        <w:rPr>
          <w:rStyle w:val="Appelnotedebasdep"/>
        </w:rPr>
        <w:footnoteRef/>
      </w:r>
      <w:r>
        <w:tab/>
        <w:t>TF 4A_619/2013 (20.05.2014) cons. 5.3.3.</w:t>
      </w:r>
    </w:p>
  </w:footnote>
  <w:footnote w:id="6">
    <w:p w:rsidR="001F3345" w:rsidRDefault="001F3345">
      <w:pPr>
        <w:pStyle w:val="Notedebasdepage"/>
      </w:pPr>
      <w:r>
        <w:rPr>
          <w:rStyle w:val="Appelnotedebasdep"/>
        </w:rPr>
        <w:footnoteRef/>
      </w:r>
      <w:r>
        <w:tab/>
        <w:t>TF 4A_619/2013 (20.05.2014) cons. 5.3.3.</w:t>
      </w:r>
    </w:p>
  </w:footnote>
  <w:footnote w:id="7">
    <w:p w:rsidR="001F3345" w:rsidRDefault="001F3345" w:rsidP="00A75A57">
      <w:pPr>
        <w:pStyle w:val="Notedebasdepage"/>
      </w:pPr>
      <w:r>
        <w:rPr>
          <w:rStyle w:val="Appelnotedebasdep"/>
        </w:rPr>
        <w:footnoteRef/>
      </w:r>
      <w:r>
        <w:tab/>
      </w:r>
      <w:proofErr w:type="spellStart"/>
      <w:r w:rsidRPr="00FC3138">
        <w:rPr>
          <w:smallCaps/>
        </w:rPr>
        <w:t>Gauch</w:t>
      </w:r>
      <w:proofErr w:type="spellEnd"/>
      <w:r>
        <w:t>, n. 2097; arrêt ACJC/343/2012 de la Cour de Justice du Canton de Genève, cons. 6, cité in DC 3/2013, p. 145-146.</w:t>
      </w:r>
    </w:p>
  </w:footnote>
  <w:footnote w:id="8">
    <w:p w:rsidR="001F3345" w:rsidRDefault="001F3345">
      <w:pPr>
        <w:pStyle w:val="Notedebasdepage"/>
      </w:pPr>
      <w:r>
        <w:rPr>
          <w:rStyle w:val="Appelnotedebasdep"/>
        </w:rPr>
        <w:footnoteRef/>
      </w:r>
      <w:r>
        <w:tab/>
        <w:t>TF 4C.324/2004 (11.01.2005).</w:t>
      </w:r>
    </w:p>
  </w:footnote>
  <w:footnote w:id="9">
    <w:p w:rsidR="001F3345" w:rsidRDefault="001F3345">
      <w:pPr>
        <w:pStyle w:val="Notedebasdepage"/>
      </w:pPr>
      <w:r>
        <w:rPr>
          <w:rStyle w:val="Appelnotedebasdep"/>
        </w:rPr>
        <w:footnoteRef/>
      </w:r>
      <w:r>
        <w:tab/>
        <w:t xml:space="preserve">Sur la notion de livraison, cf. </w:t>
      </w:r>
      <w:r w:rsidRPr="001C6652">
        <w:rPr>
          <w:smallCaps/>
        </w:rPr>
        <w:t>Guignard</w:t>
      </w:r>
      <w:r>
        <w:t xml:space="preserve">, p. 6 et </w:t>
      </w:r>
      <w:proofErr w:type="spellStart"/>
      <w:r w:rsidRPr="001C6652">
        <w:rPr>
          <w:smallCaps/>
        </w:rPr>
        <w:t>Baudraz</w:t>
      </w:r>
      <w:proofErr w:type="spellEnd"/>
      <w:r>
        <w:t xml:space="preserve">, La réception de l’ouvrage et son impact sur la garantie in JDC 2007, p. 233 </w:t>
      </w:r>
      <w:proofErr w:type="spellStart"/>
      <w:r>
        <w:t>ss</w:t>
      </w:r>
      <w:proofErr w:type="spellEnd"/>
      <w:r>
        <w:t>.</w:t>
      </w:r>
    </w:p>
  </w:footnote>
  <w:footnote w:id="10">
    <w:p w:rsidR="001F3345" w:rsidRDefault="001F3345" w:rsidP="003C45F8">
      <w:pPr>
        <w:pStyle w:val="Notedebasdepage"/>
      </w:pPr>
      <w:r>
        <w:rPr>
          <w:rStyle w:val="Appelnotedebasdep"/>
        </w:rPr>
        <w:footnoteRef/>
      </w:r>
      <w:r>
        <w:tab/>
        <w:t>TF 4A_301/2010 (07.09.2010) cons. 3.2.</w:t>
      </w:r>
    </w:p>
  </w:footnote>
  <w:footnote w:id="11">
    <w:p w:rsidR="001F3345" w:rsidRDefault="001F3345">
      <w:pPr>
        <w:pStyle w:val="Notedebasdepage"/>
      </w:pPr>
      <w:r>
        <w:rPr>
          <w:rStyle w:val="Appelnotedebasdep"/>
        </w:rPr>
        <w:footnoteRef/>
      </w:r>
      <w:r>
        <w:tab/>
      </w:r>
      <w:proofErr w:type="spellStart"/>
      <w:r w:rsidRPr="0015724F">
        <w:rPr>
          <w:smallCaps/>
        </w:rPr>
        <w:t>Gauch</w:t>
      </w:r>
      <w:proofErr w:type="spellEnd"/>
      <w:r>
        <w:t>, n. 2090.</w:t>
      </w:r>
    </w:p>
  </w:footnote>
  <w:footnote w:id="12">
    <w:p w:rsidR="001F3345" w:rsidRDefault="001F3345">
      <w:pPr>
        <w:pStyle w:val="Notedebasdepage"/>
      </w:pPr>
      <w:r>
        <w:rPr>
          <w:rStyle w:val="Appelnotedebasdep"/>
        </w:rPr>
        <w:footnoteRef/>
      </w:r>
      <w:r>
        <w:tab/>
        <w:t>ATF 132 II 161 cons. 4.1.</w:t>
      </w:r>
    </w:p>
  </w:footnote>
  <w:footnote w:id="13">
    <w:p w:rsidR="001F3345" w:rsidRDefault="001F3345">
      <w:pPr>
        <w:pStyle w:val="Notedebasdepage"/>
      </w:pPr>
      <w:r>
        <w:rPr>
          <w:rStyle w:val="Appelnotedebasdep"/>
        </w:rPr>
        <w:footnoteRef/>
      </w:r>
      <w:r>
        <w:tab/>
      </w:r>
      <w:proofErr w:type="spellStart"/>
      <w:r w:rsidRPr="00F22613">
        <w:rPr>
          <w:rFonts w:eastAsia="Times New Roman" w:cs="Arial"/>
          <w:smallCaps/>
          <w:lang w:val="fr-FR" w:eastAsia="fr-FR"/>
        </w:rPr>
        <w:t>Pedrazzini</w:t>
      </w:r>
      <w:proofErr w:type="spellEnd"/>
      <w:r w:rsidRPr="007F483B">
        <w:rPr>
          <w:rFonts w:eastAsia="Times New Roman" w:cs="Arial"/>
          <w:lang w:val="fr-FR" w:eastAsia="fr-FR"/>
        </w:rPr>
        <w:t xml:space="preserve">, </w:t>
      </w:r>
      <w:r>
        <w:rPr>
          <w:rFonts w:eastAsia="Times New Roman" w:cs="Arial"/>
          <w:lang w:val="fr-FR" w:eastAsia="fr-FR"/>
        </w:rPr>
        <w:t>n.</w:t>
      </w:r>
      <w:r w:rsidRPr="007F483B">
        <w:rPr>
          <w:rFonts w:eastAsia="Times New Roman" w:cs="Arial"/>
          <w:lang w:val="fr-FR" w:eastAsia="fr-FR"/>
        </w:rPr>
        <w:t xml:space="preserve"> 438</w:t>
      </w:r>
      <w:r>
        <w:rPr>
          <w:rFonts w:eastAsia="Times New Roman" w:cs="Arial"/>
          <w:lang w:val="fr-FR" w:eastAsia="fr-FR"/>
        </w:rPr>
        <w:t>.</w:t>
      </w:r>
    </w:p>
  </w:footnote>
  <w:footnote w:id="14">
    <w:p w:rsidR="001F3345" w:rsidRDefault="001F3345">
      <w:pPr>
        <w:pStyle w:val="Notedebasdepage"/>
      </w:pPr>
      <w:r>
        <w:rPr>
          <w:rStyle w:val="Appelnotedebasdep"/>
        </w:rPr>
        <w:footnoteRef/>
      </w:r>
      <w:r>
        <w:tab/>
        <w:t>TF 4A_70/2011 (12.04.2011) cons. 4.1.</w:t>
      </w:r>
    </w:p>
  </w:footnote>
  <w:footnote w:id="15">
    <w:p w:rsidR="001F3345" w:rsidRPr="003C45F8" w:rsidRDefault="001F3345">
      <w:pPr>
        <w:pStyle w:val="Notedebasdepage"/>
      </w:pPr>
      <w:r>
        <w:rPr>
          <w:rStyle w:val="Appelnotedebasdep"/>
        </w:rPr>
        <w:footnoteRef/>
      </w:r>
      <w:r>
        <w:tab/>
      </w:r>
      <w:r w:rsidRPr="003C45F8">
        <w:t xml:space="preserve">ATF 131 III 145 </w:t>
      </w:r>
      <w:r w:rsidRPr="003C45F8">
        <w:rPr>
          <w:rFonts w:eastAsia="Times New Roman" w:cs="Arial"/>
          <w:lang w:val="fr-FR" w:eastAsia="fr-FR"/>
        </w:rPr>
        <w:t xml:space="preserve">cons. 8.1; ATF 66 II 132 cons. 6; </w:t>
      </w:r>
      <w:proofErr w:type="spellStart"/>
      <w:r w:rsidRPr="003C45F8">
        <w:rPr>
          <w:rFonts w:eastAsia="Times New Roman" w:cs="Arial"/>
          <w:smallCaps/>
          <w:lang w:val="fr-FR" w:eastAsia="fr-FR"/>
        </w:rPr>
        <w:t>Pedrazzini</w:t>
      </w:r>
      <w:proofErr w:type="spellEnd"/>
      <w:r w:rsidRPr="003C45F8">
        <w:rPr>
          <w:rFonts w:eastAsia="Times New Roman" w:cs="Arial"/>
          <w:lang w:val="fr-FR" w:eastAsia="fr-FR"/>
        </w:rPr>
        <w:t>, n. 438.</w:t>
      </w:r>
    </w:p>
  </w:footnote>
  <w:footnote w:id="16">
    <w:p w:rsidR="001F3345" w:rsidRPr="003C45F8" w:rsidRDefault="001F3345" w:rsidP="009118BF">
      <w:pPr>
        <w:pStyle w:val="Notedebasdepage"/>
      </w:pPr>
      <w:r w:rsidRPr="003C45F8">
        <w:rPr>
          <w:rStyle w:val="Appelnotedebasdep"/>
        </w:rPr>
        <w:footnoteRef/>
      </w:r>
      <w:r w:rsidRPr="003C45F8">
        <w:t xml:space="preserve"> </w:t>
      </w:r>
      <w:r w:rsidRPr="003C45F8">
        <w:tab/>
        <w:t xml:space="preserve">TF 4A_619/2013 (20.05.2014) cons. 4.1 </w:t>
      </w:r>
      <w:proofErr w:type="gramStart"/>
      <w:r w:rsidRPr="003C45F8">
        <w:t>et</w:t>
      </w:r>
      <w:proofErr w:type="gramEnd"/>
      <w:r w:rsidRPr="003C45F8">
        <w:t xml:space="preserve"> 5.3.3; TF 4A_622/2012 cons. 3.2, in SJ 2013 I 454; </w:t>
      </w:r>
      <w:r w:rsidRPr="003C45F8">
        <w:rPr>
          <w:rFonts w:eastAsia="Times New Roman" w:cs="Arial"/>
          <w:lang w:val="fr-FR" w:eastAsia="fr-FR"/>
        </w:rPr>
        <w:t>TF 4A_301/2010 (07.09.2010) cons. 3.2, in SJ 2011 I 17; SJ 1987 177.</w:t>
      </w:r>
    </w:p>
  </w:footnote>
  <w:footnote w:id="17">
    <w:p w:rsidR="001F3345" w:rsidRDefault="001F3345">
      <w:pPr>
        <w:pStyle w:val="Notedebasdepage"/>
      </w:pPr>
      <w:r w:rsidRPr="003C45F8">
        <w:rPr>
          <w:rStyle w:val="Appelnotedebasdep"/>
        </w:rPr>
        <w:footnoteRef/>
      </w:r>
      <w:r w:rsidRPr="003C45F8">
        <w:tab/>
      </w:r>
      <w:r w:rsidRPr="003C45F8">
        <w:rPr>
          <w:rFonts w:eastAsia="Times New Roman" w:cs="Arial"/>
          <w:lang w:val="fr-FR" w:eastAsia="fr-FR"/>
        </w:rPr>
        <w:t xml:space="preserve">ATF 116 II 431 </w:t>
      </w:r>
      <w:r>
        <w:rPr>
          <w:rFonts w:eastAsia="Times New Roman" w:cs="Arial"/>
          <w:lang w:val="fr-FR" w:eastAsia="fr-FR"/>
        </w:rPr>
        <w:t>cons. 3a; TF 4A_70/2011 (12.04.</w:t>
      </w:r>
      <w:r w:rsidRPr="003C45F8">
        <w:rPr>
          <w:rFonts w:eastAsia="Times New Roman" w:cs="Arial"/>
          <w:lang w:val="fr-FR" w:eastAsia="fr-FR"/>
        </w:rPr>
        <w:t>2011) cons. 4.1, in RNRF 2012 300; TF 4C.16/2005 (13.07.2005) cons. 2.1,</w:t>
      </w:r>
      <w:r w:rsidRPr="0003340B">
        <w:rPr>
          <w:rFonts w:eastAsia="Times New Roman" w:cs="Arial"/>
          <w:lang w:val="fr-FR" w:eastAsia="fr-FR"/>
        </w:rPr>
        <w:t xml:space="preserve"> in RNRF 2007 281; </w:t>
      </w:r>
      <w:proofErr w:type="spellStart"/>
      <w:r w:rsidRPr="00F22613">
        <w:rPr>
          <w:rFonts w:eastAsia="Times New Roman" w:cs="Arial"/>
          <w:smallCaps/>
          <w:lang w:val="fr-FR" w:eastAsia="fr-FR"/>
        </w:rPr>
        <w:t>Pedrazzini</w:t>
      </w:r>
      <w:proofErr w:type="spellEnd"/>
      <w:r w:rsidRPr="0003340B">
        <w:rPr>
          <w:rFonts w:eastAsia="Times New Roman" w:cs="Arial"/>
          <w:lang w:val="fr-FR" w:eastAsia="fr-FR"/>
        </w:rPr>
        <w:t>, n° 440</w:t>
      </w:r>
      <w:r>
        <w:rPr>
          <w:rFonts w:eastAsia="Times New Roman" w:cs="Arial"/>
          <w:lang w:val="fr-FR" w:eastAsia="fr-FR"/>
        </w:rPr>
        <w:t>.</w:t>
      </w:r>
    </w:p>
  </w:footnote>
  <w:footnote w:id="18">
    <w:p w:rsidR="001F3345" w:rsidRDefault="001F3345">
      <w:pPr>
        <w:pStyle w:val="Notedebasdepage"/>
      </w:pPr>
      <w:r>
        <w:rPr>
          <w:rStyle w:val="Appelnotedebasdep"/>
        </w:rPr>
        <w:footnoteRef/>
      </w:r>
      <w:r>
        <w:tab/>
        <w:t>TF4A_619/2013 (20.05.2014) cons. 5.3.3.</w:t>
      </w:r>
    </w:p>
  </w:footnote>
  <w:footnote w:id="19">
    <w:p w:rsidR="001F3345" w:rsidRDefault="001F3345">
      <w:pPr>
        <w:pStyle w:val="Notedebasdepage"/>
      </w:pPr>
      <w:r>
        <w:rPr>
          <w:rStyle w:val="Appelnotedebasdep"/>
        </w:rPr>
        <w:footnoteRef/>
      </w:r>
      <w:r>
        <w:tab/>
      </w:r>
      <w:r w:rsidRPr="0018716E">
        <w:rPr>
          <w:rFonts w:eastAsia="Times New Roman" w:cs="Arial"/>
          <w:lang w:val="fr-FR" w:eastAsia="fr-FR"/>
        </w:rPr>
        <w:t>ATF 66</w:t>
      </w:r>
      <w:r>
        <w:rPr>
          <w:rFonts w:eastAsia="Times New Roman" w:cs="Arial"/>
          <w:lang w:val="fr-FR" w:eastAsia="fr-FR"/>
        </w:rPr>
        <w:t xml:space="preserve"> II 132 cons. 5; </w:t>
      </w:r>
      <w:r w:rsidRPr="00F22613">
        <w:rPr>
          <w:rFonts w:eastAsia="Times New Roman" w:cs="Arial"/>
          <w:smallCaps/>
          <w:lang w:val="fr-FR" w:eastAsia="fr-FR"/>
        </w:rPr>
        <w:t>Giger</w:t>
      </w:r>
      <w:r w:rsidRPr="0018716E">
        <w:rPr>
          <w:rFonts w:eastAsia="Times New Roman" w:cs="Arial"/>
          <w:lang w:val="fr-FR" w:eastAsia="fr-FR"/>
        </w:rPr>
        <w:t xml:space="preserve">, </w:t>
      </w:r>
      <w:r>
        <w:rPr>
          <w:rFonts w:eastAsia="Times New Roman" w:cs="Arial"/>
          <w:lang w:val="fr-FR" w:eastAsia="fr-FR"/>
        </w:rPr>
        <w:t xml:space="preserve">Berner </w:t>
      </w:r>
      <w:proofErr w:type="spellStart"/>
      <w:r>
        <w:rPr>
          <w:rFonts w:eastAsia="Times New Roman" w:cs="Arial"/>
          <w:lang w:val="fr-FR" w:eastAsia="fr-FR"/>
        </w:rPr>
        <w:t>Kommentar</w:t>
      </w:r>
      <w:proofErr w:type="spellEnd"/>
      <w:r>
        <w:rPr>
          <w:rFonts w:eastAsia="Times New Roman" w:cs="Arial"/>
          <w:lang w:val="fr-FR" w:eastAsia="fr-FR"/>
        </w:rPr>
        <w:t xml:space="preserve">, 1979, n. </w:t>
      </w:r>
      <w:r w:rsidRPr="0018716E">
        <w:rPr>
          <w:rFonts w:eastAsia="Times New Roman" w:cs="Arial"/>
          <w:lang w:val="fr-FR" w:eastAsia="fr-FR"/>
        </w:rPr>
        <w:t xml:space="preserve">26 ad art. 200 CO; </w:t>
      </w:r>
      <w:proofErr w:type="spellStart"/>
      <w:r w:rsidRPr="00F22613">
        <w:rPr>
          <w:rFonts w:eastAsia="Times New Roman" w:cs="Arial"/>
          <w:smallCaps/>
          <w:lang w:val="fr-FR" w:eastAsia="fr-FR"/>
        </w:rPr>
        <w:t>Pedrazzini</w:t>
      </w:r>
      <w:proofErr w:type="spellEnd"/>
      <w:r w:rsidRPr="0018716E">
        <w:rPr>
          <w:rFonts w:eastAsia="Times New Roman" w:cs="Arial"/>
          <w:lang w:val="fr-FR" w:eastAsia="fr-FR"/>
        </w:rPr>
        <w:t>, n</w:t>
      </w:r>
      <w:r>
        <w:rPr>
          <w:rFonts w:eastAsia="Times New Roman" w:cs="Arial"/>
          <w:lang w:val="fr-FR" w:eastAsia="fr-FR"/>
        </w:rPr>
        <w:t>. </w:t>
      </w:r>
      <w:r w:rsidRPr="0018716E">
        <w:rPr>
          <w:rFonts w:eastAsia="Times New Roman" w:cs="Arial"/>
          <w:lang w:val="fr-FR" w:eastAsia="fr-FR"/>
        </w:rPr>
        <w:t xml:space="preserve">1013 </w:t>
      </w:r>
      <w:proofErr w:type="spellStart"/>
      <w:r w:rsidRPr="0018716E">
        <w:rPr>
          <w:rFonts w:eastAsia="Times New Roman" w:cs="Arial"/>
          <w:lang w:val="fr-FR" w:eastAsia="fr-FR"/>
        </w:rPr>
        <w:t>ss</w:t>
      </w:r>
      <w:proofErr w:type="spellEnd"/>
      <w:r w:rsidRPr="0018716E">
        <w:rPr>
          <w:rFonts w:eastAsia="Times New Roman" w:cs="Arial"/>
          <w:lang w:val="fr-FR" w:eastAsia="fr-FR"/>
        </w:rPr>
        <w:t xml:space="preserve">; </w:t>
      </w:r>
      <w:proofErr w:type="spellStart"/>
      <w:r w:rsidRPr="00F22613">
        <w:rPr>
          <w:rFonts w:eastAsia="Times New Roman" w:cs="Arial"/>
          <w:smallCaps/>
          <w:lang w:val="fr-FR" w:eastAsia="fr-FR"/>
        </w:rPr>
        <w:t>Honsell</w:t>
      </w:r>
      <w:proofErr w:type="spellEnd"/>
      <w:r w:rsidRPr="0018716E">
        <w:rPr>
          <w:rFonts w:eastAsia="Times New Roman" w:cs="Arial"/>
          <w:lang w:val="fr-FR" w:eastAsia="fr-FR"/>
        </w:rPr>
        <w:t xml:space="preserve">, </w:t>
      </w:r>
      <w:proofErr w:type="spellStart"/>
      <w:r w:rsidRPr="0018716E">
        <w:rPr>
          <w:rFonts w:eastAsia="Times New Roman" w:cs="Arial"/>
          <w:lang w:val="fr-FR" w:eastAsia="fr-FR"/>
        </w:rPr>
        <w:t>Basler</w:t>
      </w:r>
      <w:proofErr w:type="spellEnd"/>
      <w:r w:rsidRPr="0018716E">
        <w:rPr>
          <w:rFonts w:eastAsia="Times New Roman" w:cs="Arial"/>
          <w:lang w:val="fr-FR" w:eastAsia="fr-FR"/>
        </w:rPr>
        <w:t xml:space="preserve"> </w:t>
      </w:r>
      <w:proofErr w:type="spellStart"/>
      <w:r w:rsidRPr="0018716E">
        <w:rPr>
          <w:rFonts w:eastAsia="Times New Roman" w:cs="Arial"/>
          <w:lang w:val="fr-FR" w:eastAsia="fr-FR"/>
        </w:rPr>
        <w:t>Kommentar</w:t>
      </w:r>
      <w:proofErr w:type="spellEnd"/>
      <w:r w:rsidRPr="0018716E">
        <w:rPr>
          <w:rFonts w:eastAsia="Times New Roman" w:cs="Arial"/>
          <w:lang w:val="fr-FR" w:eastAsia="fr-FR"/>
        </w:rPr>
        <w:t>, 5</w:t>
      </w:r>
      <w:r w:rsidRPr="007304D0">
        <w:rPr>
          <w:rFonts w:eastAsia="Times New Roman" w:cs="Arial"/>
          <w:vertAlign w:val="superscript"/>
          <w:lang w:val="fr-FR" w:eastAsia="fr-FR"/>
        </w:rPr>
        <w:t>ème</w:t>
      </w:r>
      <w:r>
        <w:rPr>
          <w:rFonts w:eastAsia="Times New Roman" w:cs="Arial"/>
          <w:lang w:val="fr-FR" w:eastAsia="fr-FR"/>
        </w:rPr>
        <w:t xml:space="preserve"> </w:t>
      </w:r>
      <w:r w:rsidRPr="0018716E">
        <w:rPr>
          <w:rFonts w:eastAsia="Times New Roman" w:cs="Arial"/>
          <w:lang w:val="fr-FR" w:eastAsia="fr-FR"/>
        </w:rPr>
        <w:t>éd. 2011, n</w:t>
      </w:r>
      <w:r>
        <w:rPr>
          <w:rFonts w:eastAsia="Times New Roman" w:cs="Arial"/>
          <w:lang w:val="fr-FR" w:eastAsia="fr-FR"/>
        </w:rPr>
        <w:t xml:space="preserve">. </w:t>
      </w:r>
      <w:r w:rsidRPr="0018716E">
        <w:rPr>
          <w:rFonts w:eastAsia="Times New Roman" w:cs="Arial"/>
          <w:lang w:val="fr-FR" w:eastAsia="fr-FR"/>
        </w:rPr>
        <w:t xml:space="preserve">4 ad art. 200 CO; </w:t>
      </w:r>
      <w:proofErr w:type="spellStart"/>
      <w:r w:rsidRPr="00F22613">
        <w:rPr>
          <w:rFonts w:eastAsia="Times New Roman" w:cs="Arial"/>
          <w:smallCaps/>
          <w:lang w:val="fr-FR" w:eastAsia="fr-FR"/>
        </w:rPr>
        <w:t>Tercier</w:t>
      </w:r>
      <w:proofErr w:type="spellEnd"/>
      <w:r>
        <w:rPr>
          <w:rFonts w:eastAsia="Times New Roman" w:cs="Arial"/>
          <w:lang w:val="fr-FR" w:eastAsia="fr-FR"/>
        </w:rPr>
        <w:t xml:space="preserve"> </w:t>
      </w:r>
      <w:r w:rsidRPr="00F22613">
        <w:rPr>
          <w:rFonts w:eastAsia="Times New Roman" w:cs="Arial"/>
          <w:smallCaps/>
          <w:lang w:val="fr-FR" w:eastAsia="fr-FR"/>
        </w:rPr>
        <w:t>et</w:t>
      </w:r>
      <w:r>
        <w:rPr>
          <w:rFonts w:eastAsia="Times New Roman" w:cs="Arial"/>
          <w:lang w:val="fr-FR" w:eastAsia="fr-FR"/>
        </w:rPr>
        <w:t xml:space="preserve"> </w:t>
      </w:r>
      <w:proofErr w:type="spellStart"/>
      <w:r w:rsidRPr="00F22613">
        <w:rPr>
          <w:rFonts w:eastAsia="Times New Roman" w:cs="Arial"/>
          <w:smallCaps/>
          <w:lang w:val="fr-FR" w:eastAsia="fr-FR"/>
        </w:rPr>
        <w:t>Alii</w:t>
      </w:r>
      <w:proofErr w:type="spellEnd"/>
      <w:r w:rsidRPr="0018716E">
        <w:rPr>
          <w:rFonts w:eastAsia="Times New Roman" w:cs="Arial"/>
          <w:lang w:val="fr-FR" w:eastAsia="fr-FR"/>
        </w:rPr>
        <w:t xml:space="preserve">, </w:t>
      </w:r>
      <w:r>
        <w:rPr>
          <w:rFonts w:eastAsia="Times New Roman" w:cs="Arial"/>
          <w:lang w:val="fr-FR" w:eastAsia="fr-FR"/>
        </w:rPr>
        <w:t>Les contrats spéciaux, 4</w:t>
      </w:r>
      <w:r w:rsidRPr="004F057D">
        <w:rPr>
          <w:rFonts w:eastAsia="Times New Roman" w:cs="Arial"/>
          <w:vertAlign w:val="superscript"/>
          <w:lang w:val="fr-FR" w:eastAsia="fr-FR"/>
        </w:rPr>
        <w:t>ème</w:t>
      </w:r>
      <w:r>
        <w:rPr>
          <w:rFonts w:eastAsia="Times New Roman" w:cs="Arial"/>
          <w:lang w:val="fr-FR" w:eastAsia="fr-FR"/>
        </w:rPr>
        <w:t xml:space="preserve"> éd. 2009, </w:t>
      </w:r>
      <w:r w:rsidRPr="0018716E">
        <w:rPr>
          <w:rFonts w:eastAsia="Times New Roman" w:cs="Arial"/>
          <w:lang w:val="fr-FR" w:eastAsia="fr-FR"/>
        </w:rPr>
        <w:t>n</w:t>
      </w:r>
      <w:r>
        <w:rPr>
          <w:rFonts w:eastAsia="Times New Roman" w:cs="Arial"/>
          <w:lang w:val="fr-FR" w:eastAsia="fr-FR"/>
        </w:rPr>
        <w:t>. 766.</w:t>
      </w:r>
    </w:p>
  </w:footnote>
  <w:footnote w:id="20">
    <w:p w:rsidR="001F3345" w:rsidRDefault="001F3345" w:rsidP="00595262">
      <w:pPr>
        <w:pStyle w:val="Notedebasdepage"/>
      </w:pPr>
      <w:r>
        <w:rPr>
          <w:rStyle w:val="Appelnotedebasdep"/>
        </w:rPr>
        <w:footnoteRef/>
      </w:r>
      <w:r>
        <w:tab/>
        <w:t>TF 4A_619/2013 (20.05.2014) cons. 4.1.</w:t>
      </w:r>
    </w:p>
  </w:footnote>
  <w:footnote w:id="21">
    <w:p w:rsidR="001F3345" w:rsidRDefault="001F3345">
      <w:pPr>
        <w:pStyle w:val="Notedebasdepage"/>
      </w:pPr>
      <w:r>
        <w:rPr>
          <w:rStyle w:val="Appelnotedebasdep"/>
        </w:rPr>
        <w:footnoteRef/>
      </w:r>
      <w:r>
        <w:tab/>
      </w:r>
      <w:r w:rsidRPr="00161BD9">
        <w:rPr>
          <w:rFonts w:eastAsia="Times New Roman" w:cs="Arial"/>
          <w:smallCaps/>
          <w:lang w:val="fr-FR" w:eastAsia="fr-FR"/>
        </w:rPr>
        <w:t>Venturi/Zen-</w:t>
      </w:r>
      <w:proofErr w:type="spellStart"/>
      <w:r w:rsidRPr="00161BD9">
        <w:rPr>
          <w:rFonts w:eastAsia="Times New Roman" w:cs="Arial"/>
          <w:smallCaps/>
          <w:lang w:val="fr-FR" w:eastAsia="fr-FR"/>
        </w:rPr>
        <w:t>Ruffinen</w:t>
      </w:r>
      <w:proofErr w:type="spellEnd"/>
      <w:r>
        <w:rPr>
          <w:rFonts w:eastAsia="Times New Roman" w:cs="Arial"/>
          <w:lang w:val="fr-FR" w:eastAsia="fr-FR"/>
        </w:rPr>
        <w:t>,</w:t>
      </w:r>
      <w:r w:rsidRPr="0018716E">
        <w:rPr>
          <w:rFonts w:eastAsia="Times New Roman" w:cs="Arial"/>
          <w:lang w:val="fr-FR" w:eastAsia="fr-FR"/>
        </w:rPr>
        <w:t xml:space="preserve"> n</w:t>
      </w:r>
      <w:r>
        <w:rPr>
          <w:rFonts w:eastAsia="Times New Roman" w:cs="Arial"/>
          <w:lang w:val="fr-FR" w:eastAsia="fr-FR"/>
        </w:rPr>
        <w:t>.</w:t>
      </w:r>
      <w:r w:rsidRPr="0018716E">
        <w:rPr>
          <w:rFonts w:eastAsia="Times New Roman" w:cs="Arial"/>
          <w:lang w:val="fr-FR" w:eastAsia="fr-FR"/>
        </w:rPr>
        <w:t xml:space="preserve"> 1 ad art. 200 CO</w:t>
      </w:r>
      <w:r>
        <w:rPr>
          <w:rFonts w:eastAsia="Times New Roman" w:cs="Arial"/>
          <w:lang w:val="fr-FR" w:eastAsia="fr-FR"/>
        </w:rPr>
        <w:t>.</w:t>
      </w:r>
    </w:p>
  </w:footnote>
  <w:footnote w:id="22">
    <w:p w:rsidR="001F3345" w:rsidRDefault="001F3345" w:rsidP="00457515">
      <w:pPr>
        <w:pStyle w:val="Notedebasdepage"/>
      </w:pPr>
      <w:r>
        <w:rPr>
          <w:rStyle w:val="Appelnotedebasdep"/>
        </w:rPr>
        <w:footnoteRef/>
      </w:r>
      <w:r>
        <w:tab/>
      </w:r>
      <w:proofErr w:type="spellStart"/>
      <w:r w:rsidRPr="00F22613">
        <w:rPr>
          <w:rFonts w:eastAsia="Times New Roman" w:cs="Arial"/>
          <w:smallCaps/>
          <w:lang w:val="fr-FR" w:eastAsia="fr-FR"/>
        </w:rPr>
        <w:t>Tercier</w:t>
      </w:r>
      <w:proofErr w:type="spellEnd"/>
      <w:r>
        <w:rPr>
          <w:rFonts w:eastAsia="Times New Roman" w:cs="Arial"/>
          <w:lang w:val="fr-FR" w:eastAsia="fr-FR"/>
        </w:rPr>
        <w:t xml:space="preserve"> </w:t>
      </w:r>
      <w:r w:rsidRPr="00F22613">
        <w:rPr>
          <w:rFonts w:eastAsia="Times New Roman" w:cs="Arial"/>
          <w:smallCaps/>
          <w:lang w:val="fr-FR" w:eastAsia="fr-FR"/>
        </w:rPr>
        <w:t>et</w:t>
      </w:r>
      <w:r>
        <w:rPr>
          <w:rFonts w:eastAsia="Times New Roman" w:cs="Arial"/>
          <w:lang w:val="fr-FR" w:eastAsia="fr-FR"/>
        </w:rPr>
        <w:t xml:space="preserve"> </w:t>
      </w:r>
      <w:proofErr w:type="spellStart"/>
      <w:r w:rsidRPr="00F22613">
        <w:rPr>
          <w:rFonts w:eastAsia="Times New Roman" w:cs="Arial"/>
          <w:smallCaps/>
          <w:lang w:val="fr-FR" w:eastAsia="fr-FR"/>
        </w:rPr>
        <w:t>Alii</w:t>
      </w:r>
      <w:proofErr w:type="spellEnd"/>
      <w:r>
        <w:rPr>
          <w:rFonts w:eastAsia="Times New Roman" w:cs="Arial"/>
          <w:lang w:val="fr-FR" w:eastAsia="fr-FR"/>
        </w:rPr>
        <w:t>, n.</w:t>
      </w:r>
      <w:r w:rsidRPr="007F483B">
        <w:rPr>
          <w:rFonts w:eastAsia="Times New Roman" w:cs="Arial"/>
          <w:lang w:val="fr-FR" w:eastAsia="fr-FR"/>
        </w:rPr>
        <w:t xml:space="preserve"> 763.</w:t>
      </w:r>
    </w:p>
  </w:footnote>
  <w:footnote w:id="23">
    <w:p w:rsidR="001F3345" w:rsidRDefault="001F3345">
      <w:pPr>
        <w:pStyle w:val="Notedebasdepage"/>
      </w:pPr>
      <w:r>
        <w:rPr>
          <w:rStyle w:val="Appelnotedebasdep"/>
        </w:rPr>
        <w:footnoteRef/>
      </w:r>
      <w:r>
        <w:tab/>
        <w:t>TF 4A_619/2013 (20.05.2014) cons. 5.2.</w:t>
      </w:r>
    </w:p>
  </w:footnote>
  <w:footnote w:id="24">
    <w:p w:rsidR="001F3345" w:rsidRDefault="001F3345">
      <w:pPr>
        <w:pStyle w:val="Notedebasdepage"/>
      </w:pPr>
      <w:r>
        <w:rPr>
          <w:rStyle w:val="Appelnotedebasdep"/>
        </w:rPr>
        <w:footnoteRef/>
      </w:r>
      <w:r>
        <w:tab/>
      </w:r>
      <w:r w:rsidRPr="00161BD9">
        <w:rPr>
          <w:rFonts w:eastAsia="Times New Roman" w:cs="Arial"/>
          <w:smallCaps/>
          <w:lang w:val="fr-FR" w:eastAsia="fr-FR"/>
        </w:rPr>
        <w:t>Venturi/Zen-</w:t>
      </w:r>
      <w:proofErr w:type="spellStart"/>
      <w:r w:rsidRPr="00161BD9">
        <w:rPr>
          <w:rFonts w:eastAsia="Times New Roman" w:cs="Arial"/>
          <w:smallCaps/>
          <w:lang w:val="fr-FR" w:eastAsia="fr-FR"/>
        </w:rPr>
        <w:t>Ruffinen</w:t>
      </w:r>
      <w:proofErr w:type="spellEnd"/>
      <w:r>
        <w:rPr>
          <w:rFonts w:eastAsia="Times New Roman" w:cs="Arial"/>
          <w:lang w:val="fr-FR" w:eastAsia="fr-FR"/>
        </w:rPr>
        <w:t xml:space="preserve">, </w:t>
      </w:r>
      <w:r w:rsidRPr="0018716E">
        <w:rPr>
          <w:rFonts w:eastAsia="Times New Roman" w:cs="Arial"/>
          <w:lang w:val="fr-FR" w:eastAsia="fr-FR"/>
        </w:rPr>
        <w:t>n</w:t>
      </w:r>
      <w:r>
        <w:rPr>
          <w:rFonts w:eastAsia="Times New Roman" w:cs="Arial"/>
          <w:lang w:val="fr-FR" w:eastAsia="fr-FR"/>
        </w:rPr>
        <w:t>. 6 ad art. 200 CO.</w:t>
      </w:r>
    </w:p>
  </w:footnote>
  <w:footnote w:id="25">
    <w:p w:rsidR="001F3345" w:rsidRDefault="001F3345">
      <w:pPr>
        <w:pStyle w:val="Notedebasdepage"/>
      </w:pPr>
      <w:r>
        <w:rPr>
          <w:rStyle w:val="Appelnotedebasdep"/>
        </w:rPr>
        <w:footnoteRef/>
      </w:r>
      <w:r>
        <w:tab/>
        <w:t>Arrêt ACJC/343/2012 de la Cour de Justice du Canton de Genève, cons. 6, cité in DC 3/2013, p. 145-146.</w:t>
      </w:r>
    </w:p>
  </w:footnote>
  <w:footnote w:id="26">
    <w:p w:rsidR="001F3345" w:rsidRDefault="001F3345">
      <w:pPr>
        <w:pStyle w:val="Notedebasdepage"/>
      </w:pPr>
      <w:r>
        <w:rPr>
          <w:rStyle w:val="Appelnotedebasdep"/>
        </w:rPr>
        <w:footnoteRef/>
      </w:r>
      <w:r>
        <w:tab/>
        <w:t>TF 4A_619/2013 (20.05.2014).</w:t>
      </w:r>
    </w:p>
  </w:footnote>
  <w:footnote w:id="27">
    <w:p w:rsidR="001F3345" w:rsidRDefault="001F3345">
      <w:pPr>
        <w:pStyle w:val="Notedebasdepage"/>
      </w:pPr>
      <w:r>
        <w:rPr>
          <w:rStyle w:val="Appelnotedebasdep"/>
        </w:rPr>
        <w:footnoteRef/>
      </w:r>
      <w:r>
        <w:tab/>
        <w:t>TF 4A_70/2011 (12.04.2011).</w:t>
      </w:r>
    </w:p>
  </w:footnote>
  <w:footnote w:id="28">
    <w:p w:rsidR="001F3345" w:rsidRDefault="001F3345">
      <w:pPr>
        <w:pStyle w:val="Notedebasdepage"/>
      </w:pPr>
      <w:r>
        <w:rPr>
          <w:rStyle w:val="Appelnotedebasdep"/>
        </w:rPr>
        <w:footnoteRef/>
      </w:r>
      <w:r>
        <w:tab/>
        <w:t>SJ 1987 p. 177.</w:t>
      </w:r>
    </w:p>
  </w:footnote>
  <w:footnote w:id="29">
    <w:p w:rsidR="001F3345" w:rsidRDefault="001F3345">
      <w:pPr>
        <w:pStyle w:val="Notedebasdepage"/>
      </w:pPr>
      <w:r>
        <w:rPr>
          <w:rStyle w:val="Appelnotedebasdep"/>
        </w:rPr>
        <w:footnoteRef/>
      </w:r>
      <w:r>
        <w:tab/>
      </w:r>
      <w:r>
        <w:rPr>
          <w:rFonts w:cs="Arial"/>
        </w:rPr>
        <w:t>TF 4C.152/2005</w:t>
      </w:r>
      <w:r w:rsidRPr="00FD506B">
        <w:rPr>
          <w:rFonts w:cs="Arial"/>
        </w:rPr>
        <w:t xml:space="preserve"> (29.08.2005)</w:t>
      </w:r>
      <w:r>
        <w:rPr>
          <w:rFonts w:cs="Arial"/>
        </w:rPr>
        <w:t>.</w:t>
      </w:r>
    </w:p>
  </w:footnote>
  <w:footnote w:id="30">
    <w:p w:rsidR="001F3345" w:rsidRDefault="001F3345" w:rsidP="001E6599">
      <w:pPr>
        <w:pStyle w:val="Notedebasdepage"/>
      </w:pPr>
      <w:r>
        <w:rPr>
          <w:rStyle w:val="Appelnotedebasdep"/>
        </w:rPr>
        <w:footnoteRef/>
      </w:r>
      <w:r>
        <w:tab/>
        <w:t>Alors que l’entrepreneur répond des défauts affectant l’ouvrage livré même s’ils surviennent après la livraison, le vendeur ne répond légalement d’un défaut de la chose vendue que si ce dernier existait déjà, fût-ce en germe, au moment du transfert des risques (TF 4A_601/2009 (08.09.2010) cons. 3.2.3, qui réserve toutefois le cas du défaut secondaire apparu ultérieurement mais qui dérive d’un défaut primaire existant déjà au moment du transfert).</w:t>
      </w:r>
    </w:p>
  </w:footnote>
  <w:footnote w:id="31">
    <w:p w:rsidR="001F3345" w:rsidRDefault="001F3345">
      <w:pPr>
        <w:pStyle w:val="Notedebasdepage"/>
      </w:pPr>
      <w:r>
        <w:rPr>
          <w:rStyle w:val="Appelnotedebasdep"/>
        </w:rPr>
        <w:footnoteRef/>
      </w:r>
      <w:r>
        <w:tab/>
      </w:r>
      <w:r w:rsidRPr="003F31E4">
        <w:rPr>
          <w:smallCaps/>
        </w:rPr>
        <w:t>Chaix</w:t>
      </w:r>
      <w:r>
        <w:t>, in Commentaire romand, 2</w:t>
      </w:r>
      <w:r w:rsidRPr="003F31E4">
        <w:rPr>
          <w:vertAlign w:val="superscript"/>
        </w:rPr>
        <w:t>ème</w:t>
      </w:r>
      <w:r>
        <w:t xml:space="preserve"> éd. 2012, n. 26 ad 370 CO.</w:t>
      </w:r>
    </w:p>
  </w:footnote>
  <w:footnote w:id="32">
    <w:p w:rsidR="001F3345" w:rsidRDefault="001F3345" w:rsidP="001E6599">
      <w:pPr>
        <w:pStyle w:val="Notedebasdepage"/>
      </w:pPr>
      <w:r>
        <w:rPr>
          <w:rStyle w:val="Appelnotedebasdep"/>
        </w:rPr>
        <w:footnoteRef/>
      </w:r>
      <w:r>
        <w:tab/>
      </w:r>
      <w:proofErr w:type="spellStart"/>
      <w:r w:rsidRPr="00EF0D74">
        <w:rPr>
          <w:smallCaps/>
        </w:rPr>
        <w:t>Gauch</w:t>
      </w:r>
      <w:proofErr w:type="spellEnd"/>
      <w:r>
        <w:t xml:space="preserve">, n. 347 </w:t>
      </w:r>
      <w:proofErr w:type="spellStart"/>
      <w:r>
        <w:t>ss</w:t>
      </w:r>
      <w:proofErr w:type="spellEnd"/>
      <w:r>
        <w:t>.</w:t>
      </w:r>
    </w:p>
  </w:footnote>
  <w:footnote w:id="33">
    <w:p w:rsidR="001F3345" w:rsidRDefault="001F3345" w:rsidP="00725B9C">
      <w:pPr>
        <w:pStyle w:val="Notedebasdepage"/>
      </w:pPr>
      <w:r>
        <w:rPr>
          <w:rStyle w:val="Appelnotedebasdep"/>
        </w:rPr>
        <w:footnoteRef/>
      </w:r>
      <w:r>
        <w:tab/>
        <w:t>ATF 98 II 191 cons. 4; TF 4D_4/2011 (01.04.2011) cons. 4.1; TF 4C.82/2004 (03.05.2004) cons. 2.3. Si les parties ont intégré la Norme SIA 118 à leur contrat, le maître sera néanmoins mieux loti durant les deux premières années à compter de la livraison de l’ouvrage puisque les articles 160 al. 1 et 172 al. 2 SIA-118 lui permettent d’invoquer en tout temps les défauts apparaissant pendant cette période appelée « délai de dénonciation des défauts ».</w:t>
      </w:r>
    </w:p>
  </w:footnote>
  <w:footnote w:id="34">
    <w:p w:rsidR="001F3345" w:rsidRDefault="001F3345">
      <w:pPr>
        <w:pStyle w:val="Notedebasdepage"/>
      </w:pPr>
      <w:r>
        <w:rPr>
          <w:rStyle w:val="Appelnotedebasdep"/>
        </w:rPr>
        <w:footnoteRef/>
      </w:r>
      <w:r>
        <w:tab/>
        <w:t>SJ 1988 p. 284 cons. 3a.</w:t>
      </w:r>
    </w:p>
  </w:footnote>
  <w:footnote w:id="35">
    <w:p w:rsidR="001F3345" w:rsidRDefault="001F3345">
      <w:pPr>
        <w:pStyle w:val="Notedebasdepage"/>
      </w:pPr>
      <w:r>
        <w:rPr>
          <w:rStyle w:val="Appelnotedebasdep"/>
        </w:rPr>
        <w:footnoteRef/>
      </w:r>
      <w:r>
        <w:tab/>
      </w:r>
      <w:r w:rsidRPr="00727518">
        <w:rPr>
          <w:smallCaps/>
        </w:rPr>
        <w:t>Chaix</w:t>
      </w:r>
      <w:r>
        <w:t xml:space="preserve">, n. 20 ad art. 370 CO; </w:t>
      </w:r>
      <w:proofErr w:type="spellStart"/>
      <w:r w:rsidRPr="00727518">
        <w:rPr>
          <w:smallCaps/>
        </w:rPr>
        <w:t>Gauch</w:t>
      </w:r>
      <w:proofErr w:type="spellEnd"/>
      <w:r>
        <w:t xml:space="preserve">, n. 2162 et 2187; </w:t>
      </w:r>
      <w:proofErr w:type="spellStart"/>
      <w:r w:rsidRPr="00A26100">
        <w:rPr>
          <w:rFonts w:cs="Arial"/>
          <w:smallCaps/>
        </w:rPr>
        <w:t>Guhl</w:t>
      </w:r>
      <w:proofErr w:type="spellEnd"/>
      <w:r>
        <w:rPr>
          <w:rFonts w:cs="Arial"/>
        </w:rPr>
        <w:t xml:space="preserve">, </w:t>
      </w:r>
      <w:proofErr w:type="spellStart"/>
      <w:r>
        <w:rPr>
          <w:rFonts w:cs="Arial"/>
        </w:rPr>
        <w:t>Das</w:t>
      </w:r>
      <w:proofErr w:type="spellEnd"/>
      <w:r>
        <w:rPr>
          <w:rFonts w:cs="Arial"/>
        </w:rPr>
        <w:t xml:space="preserve"> </w:t>
      </w:r>
      <w:proofErr w:type="spellStart"/>
      <w:r>
        <w:rPr>
          <w:rFonts w:cs="Arial"/>
        </w:rPr>
        <w:t>Schweizerische</w:t>
      </w:r>
      <w:proofErr w:type="spellEnd"/>
      <w:r>
        <w:rPr>
          <w:rFonts w:cs="Arial"/>
        </w:rPr>
        <w:t xml:space="preserve"> </w:t>
      </w:r>
      <w:proofErr w:type="spellStart"/>
      <w:r>
        <w:rPr>
          <w:rFonts w:cs="Arial"/>
        </w:rPr>
        <w:t>Obligationenrecht</w:t>
      </w:r>
      <w:proofErr w:type="spellEnd"/>
      <w:r>
        <w:rPr>
          <w:rFonts w:cs="Arial"/>
        </w:rPr>
        <w:t>, 9</w:t>
      </w:r>
      <w:r w:rsidRPr="003F31E4">
        <w:rPr>
          <w:rFonts w:cs="Arial"/>
          <w:vertAlign w:val="superscript"/>
        </w:rPr>
        <w:t>ème</w:t>
      </w:r>
      <w:r>
        <w:rPr>
          <w:rFonts w:cs="Arial"/>
        </w:rPr>
        <w:t xml:space="preserve"> éd., n. 55; </w:t>
      </w:r>
      <w:r>
        <w:t>a</w:t>
      </w:r>
      <w:r w:rsidRPr="00A2365E">
        <w:rPr>
          <w:szCs w:val="22"/>
        </w:rPr>
        <w:t>rrêt de la Cour de Justice du Canton de Genève GE ACJC/343/2012 cité in DC 3/2013, p. 145-146</w:t>
      </w:r>
      <w:r>
        <w:rPr>
          <w:szCs w:val="22"/>
        </w:rPr>
        <w:t>; arrêt de la Chambre des recours du Tribunal cantonal du Canton de Vaud HC/2010/706 du 26 novembre 2010 cons. 3b.</w:t>
      </w:r>
    </w:p>
  </w:footnote>
  <w:footnote w:id="36">
    <w:p w:rsidR="001F3345" w:rsidRDefault="001F3345">
      <w:pPr>
        <w:pStyle w:val="Notedebasdepage"/>
      </w:pPr>
      <w:r>
        <w:rPr>
          <w:rStyle w:val="Appelnotedebasdep"/>
        </w:rPr>
        <w:footnoteRef/>
      </w:r>
      <w:r>
        <w:tab/>
      </w:r>
      <w:proofErr w:type="spellStart"/>
      <w:r w:rsidRPr="00F1037D">
        <w:rPr>
          <w:smallCaps/>
        </w:rPr>
        <w:t>Gauch</w:t>
      </w:r>
      <w:proofErr w:type="spellEnd"/>
      <w:r>
        <w:t>, n. 2162.</w:t>
      </w:r>
    </w:p>
  </w:footnote>
  <w:footnote w:id="37">
    <w:p w:rsidR="001F3345" w:rsidRDefault="001F3345">
      <w:pPr>
        <w:pStyle w:val="Notedebasdepage"/>
      </w:pPr>
      <w:r>
        <w:rPr>
          <w:rStyle w:val="Appelnotedebasdep"/>
        </w:rPr>
        <w:footnoteRef/>
      </w:r>
      <w:r>
        <w:tab/>
        <w:t>ATF 100 II 30 cons. 2.</w:t>
      </w:r>
    </w:p>
  </w:footnote>
  <w:footnote w:id="38">
    <w:p w:rsidR="001F3345" w:rsidRDefault="001F3345">
      <w:pPr>
        <w:pStyle w:val="Notedebasdepage"/>
      </w:pPr>
      <w:r>
        <w:rPr>
          <w:rStyle w:val="Appelnotedebasdep"/>
        </w:rPr>
        <w:footnoteRef/>
      </w:r>
      <w:r>
        <w:tab/>
        <w:t>TF 4C.34/2005 (18.08.2005) cons. 5.3</w:t>
      </w:r>
      <w:r>
        <w:rPr>
          <w:rFonts w:cs="Arial"/>
        </w:rPr>
        <w:t>.</w:t>
      </w:r>
    </w:p>
  </w:footnote>
  <w:footnote w:id="39">
    <w:p w:rsidR="001F3345" w:rsidRDefault="001F3345">
      <w:pPr>
        <w:pStyle w:val="Notedebasdepage"/>
      </w:pPr>
      <w:r>
        <w:rPr>
          <w:rStyle w:val="Appelnotedebasdep"/>
        </w:rPr>
        <w:footnoteRef/>
      </w:r>
      <w:r>
        <w:rPr>
          <w:rFonts w:cs="Arial"/>
        </w:rPr>
        <w:tab/>
        <w:t>TF 4C.152/2005</w:t>
      </w:r>
      <w:r w:rsidRPr="00FD506B">
        <w:rPr>
          <w:rFonts w:cs="Arial"/>
        </w:rPr>
        <w:t xml:space="preserve"> (29.08.2005) cons.</w:t>
      </w:r>
      <w:r>
        <w:rPr>
          <w:rFonts w:cs="Arial"/>
        </w:rPr>
        <w:t> 2.2.1.</w:t>
      </w:r>
    </w:p>
  </w:footnote>
  <w:footnote w:id="40">
    <w:p w:rsidR="001F3345" w:rsidRDefault="001F3345">
      <w:pPr>
        <w:pStyle w:val="Notedebasdepage"/>
      </w:pPr>
      <w:r>
        <w:rPr>
          <w:rStyle w:val="Appelnotedebasdep"/>
        </w:rPr>
        <w:footnoteRef/>
      </w:r>
      <w:r>
        <w:tab/>
        <w:t>Pour les questions relatives au droit transitoire, c’est-à-dire au droit applicable au contrat conclu avant le 1</w:t>
      </w:r>
      <w:r w:rsidRPr="00403453">
        <w:rPr>
          <w:vertAlign w:val="superscript"/>
        </w:rPr>
        <w:t>er</w:t>
      </w:r>
      <w:r>
        <w:t xml:space="preserve"> janvier 2012, cf. </w:t>
      </w:r>
      <w:r w:rsidRPr="003C45F8">
        <w:rPr>
          <w:smallCaps/>
        </w:rPr>
        <w:t>Guignard</w:t>
      </w:r>
      <w:r>
        <w:t xml:space="preserve">, La garantie pour les défauts dans la PPE, in Cahiers des droits réels et de la propriété 2/2013, p. 33 </w:t>
      </w:r>
      <w:proofErr w:type="spellStart"/>
      <w:r>
        <w:t>ss</w:t>
      </w:r>
      <w:proofErr w:type="spellEnd"/>
      <w:r>
        <w:t>, p. 53-54.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7FB"/>
    <w:multiLevelType w:val="hybridMultilevel"/>
    <w:tmpl w:val="A54A9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819CB"/>
    <w:multiLevelType w:val="hybridMultilevel"/>
    <w:tmpl w:val="B1441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7D1308"/>
    <w:multiLevelType w:val="hybridMultilevel"/>
    <w:tmpl w:val="79202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BD39CB"/>
    <w:multiLevelType w:val="hybridMultilevel"/>
    <w:tmpl w:val="30081A60"/>
    <w:lvl w:ilvl="0" w:tplc="19C05898">
      <w:start w:val="4"/>
      <w:numFmt w:val="bullet"/>
      <w:lvlText w:val="-"/>
      <w:lvlJc w:val="left"/>
      <w:pPr>
        <w:ind w:left="510" w:hanging="360"/>
      </w:pPr>
      <w:rPr>
        <w:rFonts w:ascii="Arial" w:eastAsia="Times New Roman"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4">
    <w:nsid w:val="7C0470A4"/>
    <w:multiLevelType w:val="hybridMultilevel"/>
    <w:tmpl w:val="4A9EE4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8A"/>
    <w:rsid w:val="0003340B"/>
    <w:rsid w:val="00036415"/>
    <w:rsid w:val="0006488E"/>
    <w:rsid w:val="00076919"/>
    <w:rsid w:val="00076FCD"/>
    <w:rsid w:val="000A7BC9"/>
    <w:rsid w:val="00111C98"/>
    <w:rsid w:val="00121FF0"/>
    <w:rsid w:val="00143274"/>
    <w:rsid w:val="00146FAC"/>
    <w:rsid w:val="0015724F"/>
    <w:rsid w:val="00161BD9"/>
    <w:rsid w:val="00173844"/>
    <w:rsid w:val="00181BEA"/>
    <w:rsid w:val="0018716E"/>
    <w:rsid w:val="001C24DB"/>
    <w:rsid w:val="001C6652"/>
    <w:rsid w:val="001E6599"/>
    <w:rsid w:val="001F3345"/>
    <w:rsid w:val="001F4EA0"/>
    <w:rsid w:val="00211C99"/>
    <w:rsid w:val="00216898"/>
    <w:rsid w:val="00227901"/>
    <w:rsid w:val="00235F87"/>
    <w:rsid w:val="00242B57"/>
    <w:rsid w:val="002F2E2A"/>
    <w:rsid w:val="00320541"/>
    <w:rsid w:val="00326738"/>
    <w:rsid w:val="003459FA"/>
    <w:rsid w:val="00365254"/>
    <w:rsid w:val="00367747"/>
    <w:rsid w:val="00385206"/>
    <w:rsid w:val="00397154"/>
    <w:rsid w:val="003C45F8"/>
    <w:rsid w:val="003D1521"/>
    <w:rsid w:val="003D74B7"/>
    <w:rsid w:val="003F31E4"/>
    <w:rsid w:val="003F72FD"/>
    <w:rsid w:val="00403453"/>
    <w:rsid w:val="004566E3"/>
    <w:rsid w:val="00457515"/>
    <w:rsid w:val="00492419"/>
    <w:rsid w:val="00492936"/>
    <w:rsid w:val="004D65D6"/>
    <w:rsid w:val="004F057D"/>
    <w:rsid w:val="005379BA"/>
    <w:rsid w:val="00542CF5"/>
    <w:rsid w:val="00584ED4"/>
    <w:rsid w:val="00595262"/>
    <w:rsid w:val="00644CC9"/>
    <w:rsid w:val="00663D25"/>
    <w:rsid w:val="006C7CD6"/>
    <w:rsid w:val="006D23AC"/>
    <w:rsid w:val="006F6565"/>
    <w:rsid w:val="007146AB"/>
    <w:rsid w:val="00725B9C"/>
    <w:rsid w:val="0072653E"/>
    <w:rsid w:val="00727518"/>
    <w:rsid w:val="007304D0"/>
    <w:rsid w:val="00757B8F"/>
    <w:rsid w:val="00762460"/>
    <w:rsid w:val="007662FF"/>
    <w:rsid w:val="007C796D"/>
    <w:rsid w:val="007E2D74"/>
    <w:rsid w:val="007E7DA0"/>
    <w:rsid w:val="007F483B"/>
    <w:rsid w:val="008042CB"/>
    <w:rsid w:val="0082058B"/>
    <w:rsid w:val="008535BC"/>
    <w:rsid w:val="00856E84"/>
    <w:rsid w:val="00864D44"/>
    <w:rsid w:val="00873503"/>
    <w:rsid w:val="008827BF"/>
    <w:rsid w:val="00892981"/>
    <w:rsid w:val="0089335E"/>
    <w:rsid w:val="008F363B"/>
    <w:rsid w:val="009118BF"/>
    <w:rsid w:val="009230F8"/>
    <w:rsid w:val="009240BD"/>
    <w:rsid w:val="009310DF"/>
    <w:rsid w:val="00940A2E"/>
    <w:rsid w:val="00941727"/>
    <w:rsid w:val="0094449B"/>
    <w:rsid w:val="009600A2"/>
    <w:rsid w:val="00965459"/>
    <w:rsid w:val="009723BA"/>
    <w:rsid w:val="009727B5"/>
    <w:rsid w:val="00991E80"/>
    <w:rsid w:val="009A001C"/>
    <w:rsid w:val="009A7DFA"/>
    <w:rsid w:val="009D5DD0"/>
    <w:rsid w:val="00A07EAD"/>
    <w:rsid w:val="00A13224"/>
    <w:rsid w:val="00A2365E"/>
    <w:rsid w:val="00A26100"/>
    <w:rsid w:val="00A65327"/>
    <w:rsid w:val="00A75A57"/>
    <w:rsid w:val="00A965B2"/>
    <w:rsid w:val="00AB610B"/>
    <w:rsid w:val="00AE0214"/>
    <w:rsid w:val="00AE626F"/>
    <w:rsid w:val="00AF44A7"/>
    <w:rsid w:val="00AF6AED"/>
    <w:rsid w:val="00B16665"/>
    <w:rsid w:val="00B3341A"/>
    <w:rsid w:val="00B421C0"/>
    <w:rsid w:val="00B44CFC"/>
    <w:rsid w:val="00B5461C"/>
    <w:rsid w:val="00B73834"/>
    <w:rsid w:val="00B87580"/>
    <w:rsid w:val="00BB5743"/>
    <w:rsid w:val="00C77A91"/>
    <w:rsid w:val="00CE10A6"/>
    <w:rsid w:val="00D230B1"/>
    <w:rsid w:val="00D2413E"/>
    <w:rsid w:val="00D33CA8"/>
    <w:rsid w:val="00D36DD3"/>
    <w:rsid w:val="00DA22FB"/>
    <w:rsid w:val="00DA76A9"/>
    <w:rsid w:val="00DE19A4"/>
    <w:rsid w:val="00DF248F"/>
    <w:rsid w:val="00E27034"/>
    <w:rsid w:val="00E34F2D"/>
    <w:rsid w:val="00E72552"/>
    <w:rsid w:val="00EA4F02"/>
    <w:rsid w:val="00EB14F0"/>
    <w:rsid w:val="00EC006B"/>
    <w:rsid w:val="00EC2E01"/>
    <w:rsid w:val="00EE3B6F"/>
    <w:rsid w:val="00EF0D74"/>
    <w:rsid w:val="00EF408A"/>
    <w:rsid w:val="00F06DD9"/>
    <w:rsid w:val="00F1037D"/>
    <w:rsid w:val="00F129DC"/>
    <w:rsid w:val="00F22613"/>
    <w:rsid w:val="00F51B35"/>
    <w:rsid w:val="00F678D5"/>
    <w:rsid w:val="00F869F6"/>
    <w:rsid w:val="00F905B6"/>
    <w:rsid w:val="00F94465"/>
    <w:rsid w:val="00FA4E3C"/>
    <w:rsid w:val="00FA64D6"/>
    <w:rsid w:val="00FC3138"/>
    <w:rsid w:val="00FC39A7"/>
    <w:rsid w:val="00FD506B"/>
    <w:rsid w:val="00FE47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before="20"/>
        <w:ind w:left="329" w:hanging="3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1A"/>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2E0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E01"/>
    <w:rPr>
      <w:rFonts w:ascii="Tahoma" w:hAnsi="Tahoma" w:cs="Tahoma"/>
      <w:sz w:val="16"/>
      <w:szCs w:val="16"/>
    </w:rPr>
  </w:style>
  <w:style w:type="paragraph" w:styleId="Notedebasdepage">
    <w:name w:val="footnote text"/>
    <w:basedOn w:val="Normal"/>
    <w:link w:val="NotedebasdepageCar"/>
    <w:uiPriority w:val="99"/>
    <w:semiHidden/>
    <w:unhideWhenUsed/>
    <w:rsid w:val="009310DF"/>
    <w:pPr>
      <w:spacing w:before="0"/>
    </w:pPr>
    <w:rPr>
      <w:sz w:val="20"/>
      <w:szCs w:val="20"/>
    </w:rPr>
  </w:style>
  <w:style w:type="character" w:customStyle="1" w:styleId="NotedebasdepageCar">
    <w:name w:val="Note de bas de page Car"/>
    <w:basedOn w:val="Policepardfaut"/>
    <w:link w:val="Notedebasdepage"/>
    <w:uiPriority w:val="99"/>
    <w:semiHidden/>
    <w:rsid w:val="009310DF"/>
    <w:rPr>
      <w:rFonts w:ascii="Arial" w:hAnsi="Arial"/>
      <w:sz w:val="20"/>
      <w:szCs w:val="20"/>
    </w:rPr>
  </w:style>
  <w:style w:type="character" w:styleId="Appelnotedebasdep">
    <w:name w:val="footnote reference"/>
    <w:basedOn w:val="Policepardfaut"/>
    <w:uiPriority w:val="99"/>
    <w:semiHidden/>
    <w:unhideWhenUsed/>
    <w:rsid w:val="009310DF"/>
    <w:rPr>
      <w:vertAlign w:val="superscript"/>
    </w:rPr>
  </w:style>
  <w:style w:type="paragraph" w:styleId="Paragraphedeliste">
    <w:name w:val="List Paragraph"/>
    <w:basedOn w:val="Normal"/>
    <w:uiPriority w:val="34"/>
    <w:qFormat/>
    <w:rsid w:val="007F483B"/>
    <w:pPr>
      <w:ind w:left="720"/>
      <w:contextualSpacing/>
    </w:pPr>
  </w:style>
  <w:style w:type="character" w:styleId="Lienhypertexte">
    <w:name w:val="Hyperlink"/>
    <w:basedOn w:val="Policepardfaut"/>
    <w:uiPriority w:val="99"/>
    <w:semiHidden/>
    <w:unhideWhenUsed/>
    <w:rsid w:val="007F483B"/>
    <w:rPr>
      <w:color w:val="000000"/>
      <w:u w:val="single"/>
    </w:rPr>
  </w:style>
  <w:style w:type="paragraph" w:customStyle="1" w:styleId="Concerne">
    <w:name w:val="Concerne"/>
    <w:basedOn w:val="Normal"/>
    <w:rsid w:val="00F51B35"/>
    <w:pPr>
      <w:overflowPunct w:val="0"/>
      <w:autoSpaceDE w:val="0"/>
      <w:autoSpaceDN w:val="0"/>
      <w:adjustRightInd w:val="0"/>
      <w:spacing w:before="0"/>
      <w:ind w:left="0" w:firstLine="0"/>
      <w:textAlignment w:val="baseline"/>
    </w:pPr>
    <w:rPr>
      <w:rFonts w:eastAsia="Times New Roman" w:cs="Arial"/>
      <w:szCs w:val="20"/>
      <w:lang w:val="fr-FR" w:eastAsia="fr-FR"/>
    </w:rPr>
  </w:style>
  <w:style w:type="character" w:customStyle="1" w:styleId="exactmatch1">
    <w:name w:val="exact_match1"/>
    <w:basedOn w:val="Policepardfaut"/>
    <w:rsid w:val="00FD506B"/>
    <w:rPr>
      <w:color w:val="000000"/>
      <w:shd w:val="clear" w:color="auto" w:fill="FFE26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before="20"/>
        <w:ind w:left="329" w:hanging="3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1A"/>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2E0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E01"/>
    <w:rPr>
      <w:rFonts w:ascii="Tahoma" w:hAnsi="Tahoma" w:cs="Tahoma"/>
      <w:sz w:val="16"/>
      <w:szCs w:val="16"/>
    </w:rPr>
  </w:style>
  <w:style w:type="paragraph" w:styleId="Notedebasdepage">
    <w:name w:val="footnote text"/>
    <w:basedOn w:val="Normal"/>
    <w:link w:val="NotedebasdepageCar"/>
    <w:uiPriority w:val="99"/>
    <w:semiHidden/>
    <w:unhideWhenUsed/>
    <w:rsid w:val="009310DF"/>
    <w:pPr>
      <w:spacing w:before="0"/>
    </w:pPr>
    <w:rPr>
      <w:sz w:val="20"/>
      <w:szCs w:val="20"/>
    </w:rPr>
  </w:style>
  <w:style w:type="character" w:customStyle="1" w:styleId="NotedebasdepageCar">
    <w:name w:val="Note de bas de page Car"/>
    <w:basedOn w:val="Policepardfaut"/>
    <w:link w:val="Notedebasdepage"/>
    <w:uiPriority w:val="99"/>
    <w:semiHidden/>
    <w:rsid w:val="009310DF"/>
    <w:rPr>
      <w:rFonts w:ascii="Arial" w:hAnsi="Arial"/>
      <w:sz w:val="20"/>
      <w:szCs w:val="20"/>
    </w:rPr>
  </w:style>
  <w:style w:type="character" w:styleId="Appelnotedebasdep">
    <w:name w:val="footnote reference"/>
    <w:basedOn w:val="Policepardfaut"/>
    <w:uiPriority w:val="99"/>
    <w:semiHidden/>
    <w:unhideWhenUsed/>
    <w:rsid w:val="009310DF"/>
    <w:rPr>
      <w:vertAlign w:val="superscript"/>
    </w:rPr>
  </w:style>
  <w:style w:type="paragraph" w:styleId="Paragraphedeliste">
    <w:name w:val="List Paragraph"/>
    <w:basedOn w:val="Normal"/>
    <w:uiPriority w:val="34"/>
    <w:qFormat/>
    <w:rsid w:val="007F483B"/>
    <w:pPr>
      <w:ind w:left="720"/>
      <w:contextualSpacing/>
    </w:pPr>
  </w:style>
  <w:style w:type="character" w:styleId="Lienhypertexte">
    <w:name w:val="Hyperlink"/>
    <w:basedOn w:val="Policepardfaut"/>
    <w:uiPriority w:val="99"/>
    <w:semiHidden/>
    <w:unhideWhenUsed/>
    <w:rsid w:val="007F483B"/>
    <w:rPr>
      <w:color w:val="000000"/>
      <w:u w:val="single"/>
    </w:rPr>
  </w:style>
  <w:style w:type="paragraph" w:customStyle="1" w:styleId="Concerne">
    <w:name w:val="Concerne"/>
    <w:basedOn w:val="Normal"/>
    <w:rsid w:val="00F51B35"/>
    <w:pPr>
      <w:overflowPunct w:val="0"/>
      <w:autoSpaceDE w:val="0"/>
      <w:autoSpaceDN w:val="0"/>
      <w:adjustRightInd w:val="0"/>
      <w:spacing w:before="0"/>
      <w:ind w:left="0" w:firstLine="0"/>
      <w:textAlignment w:val="baseline"/>
    </w:pPr>
    <w:rPr>
      <w:rFonts w:eastAsia="Times New Roman" w:cs="Arial"/>
      <w:szCs w:val="20"/>
      <w:lang w:val="fr-FR" w:eastAsia="fr-FR"/>
    </w:rPr>
  </w:style>
  <w:style w:type="character" w:customStyle="1" w:styleId="exactmatch1">
    <w:name w:val="exact_match1"/>
    <w:basedOn w:val="Policepardfaut"/>
    <w:rsid w:val="00FD506B"/>
    <w:rPr>
      <w:color w:val="000000"/>
      <w:shd w:val="clear" w:color="auto" w:fill="FFE2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6843">
      <w:bodyDiv w:val="1"/>
      <w:marLeft w:val="0"/>
      <w:marRight w:val="0"/>
      <w:marTop w:val="0"/>
      <w:marBottom w:val="0"/>
      <w:divBdr>
        <w:top w:val="none" w:sz="0" w:space="0" w:color="auto"/>
        <w:left w:val="none" w:sz="0" w:space="0" w:color="auto"/>
        <w:bottom w:val="none" w:sz="0" w:space="0" w:color="auto"/>
        <w:right w:val="none" w:sz="0" w:space="0" w:color="auto"/>
      </w:divBdr>
      <w:divsChild>
        <w:div w:id="1166241889">
          <w:marLeft w:val="0"/>
          <w:marRight w:val="0"/>
          <w:marTop w:val="0"/>
          <w:marBottom w:val="0"/>
          <w:divBdr>
            <w:top w:val="none" w:sz="0" w:space="0" w:color="auto"/>
            <w:left w:val="none" w:sz="0" w:space="0" w:color="auto"/>
            <w:bottom w:val="none" w:sz="0" w:space="0" w:color="auto"/>
            <w:right w:val="none" w:sz="0" w:space="0" w:color="auto"/>
          </w:divBdr>
        </w:div>
      </w:divsChild>
    </w:div>
    <w:div w:id="2106420233">
      <w:bodyDiv w:val="1"/>
      <w:marLeft w:val="0"/>
      <w:marRight w:val="0"/>
      <w:marTop w:val="0"/>
      <w:marBottom w:val="0"/>
      <w:divBdr>
        <w:top w:val="none" w:sz="0" w:space="0" w:color="auto"/>
        <w:left w:val="none" w:sz="0" w:space="0" w:color="auto"/>
        <w:bottom w:val="none" w:sz="0" w:space="0" w:color="auto"/>
        <w:right w:val="none" w:sz="0" w:space="0" w:color="auto"/>
      </w:divBdr>
      <w:divsChild>
        <w:div w:id="802427255">
          <w:marLeft w:val="0"/>
          <w:marRight w:val="0"/>
          <w:marTop w:val="0"/>
          <w:marBottom w:val="0"/>
          <w:divBdr>
            <w:top w:val="none" w:sz="0" w:space="0" w:color="auto"/>
            <w:left w:val="none" w:sz="0" w:space="0" w:color="auto"/>
            <w:bottom w:val="none" w:sz="0" w:space="0" w:color="auto"/>
            <w:right w:val="none" w:sz="0" w:space="0" w:color="auto"/>
          </w:divBdr>
          <w:divsChild>
            <w:div w:id="1070888866">
              <w:marLeft w:val="150"/>
              <w:marRight w:val="0"/>
              <w:marTop w:val="0"/>
              <w:marBottom w:val="0"/>
              <w:divBdr>
                <w:top w:val="none" w:sz="0" w:space="0" w:color="auto"/>
                <w:left w:val="none" w:sz="0" w:space="0" w:color="auto"/>
                <w:bottom w:val="none" w:sz="0" w:space="0" w:color="auto"/>
                <w:right w:val="none" w:sz="0" w:space="0" w:color="auto"/>
              </w:divBdr>
              <w:divsChild>
                <w:div w:id="1474326984">
                  <w:marLeft w:val="0"/>
                  <w:marRight w:val="0"/>
                  <w:marTop w:val="150"/>
                  <w:marBottom w:val="0"/>
                  <w:divBdr>
                    <w:top w:val="none" w:sz="0" w:space="0" w:color="auto"/>
                    <w:left w:val="none" w:sz="0" w:space="0" w:color="auto"/>
                    <w:bottom w:val="none" w:sz="0" w:space="0" w:color="auto"/>
                    <w:right w:val="none" w:sz="0" w:space="0" w:color="auto"/>
                  </w:divBdr>
                  <w:divsChild>
                    <w:div w:id="401561989">
                      <w:marLeft w:val="0"/>
                      <w:marRight w:val="0"/>
                      <w:marTop w:val="0"/>
                      <w:marBottom w:val="0"/>
                      <w:divBdr>
                        <w:top w:val="none" w:sz="0" w:space="0" w:color="auto"/>
                        <w:left w:val="single" w:sz="6" w:space="0" w:color="999999"/>
                        <w:bottom w:val="none" w:sz="0" w:space="0" w:color="auto"/>
                        <w:right w:val="single" w:sz="6" w:space="0" w:color="999999"/>
                      </w:divBdr>
                      <w:divsChild>
                        <w:div w:id="2066710158">
                          <w:marLeft w:val="0"/>
                          <w:marRight w:val="0"/>
                          <w:marTop w:val="0"/>
                          <w:marBottom w:val="0"/>
                          <w:divBdr>
                            <w:top w:val="none" w:sz="0" w:space="0" w:color="auto"/>
                            <w:left w:val="none" w:sz="0" w:space="0" w:color="auto"/>
                            <w:bottom w:val="none" w:sz="0" w:space="0" w:color="auto"/>
                            <w:right w:val="none" w:sz="0" w:space="0" w:color="auto"/>
                          </w:divBdr>
                        </w:div>
                        <w:div w:id="1223980378">
                          <w:marLeft w:val="0"/>
                          <w:marRight w:val="0"/>
                          <w:marTop w:val="0"/>
                          <w:marBottom w:val="0"/>
                          <w:divBdr>
                            <w:top w:val="none" w:sz="0" w:space="0" w:color="auto"/>
                            <w:left w:val="none" w:sz="0" w:space="0" w:color="auto"/>
                            <w:bottom w:val="none" w:sz="0" w:space="0" w:color="auto"/>
                            <w:right w:val="none" w:sz="0" w:space="0" w:color="auto"/>
                          </w:divBdr>
                        </w:div>
                        <w:div w:id="858855281">
                          <w:marLeft w:val="0"/>
                          <w:marRight w:val="0"/>
                          <w:marTop w:val="0"/>
                          <w:marBottom w:val="0"/>
                          <w:divBdr>
                            <w:top w:val="none" w:sz="0" w:space="0" w:color="auto"/>
                            <w:left w:val="none" w:sz="0" w:space="0" w:color="auto"/>
                            <w:bottom w:val="none" w:sz="0" w:space="0" w:color="auto"/>
                            <w:right w:val="none" w:sz="0" w:space="0" w:color="auto"/>
                          </w:divBdr>
                        </w:div>
                        <w:div w:id="1804493943">
                          <w:marLeft w:val="0"/>
                          <w:marRight w:val="0"/>
                          <w:marTop w:val="0"/>
                          <w:marBottom w:val="0"/>
                          <w:divBdr>
                            <w:top w:val="none" w:sz="0" w:space="0" w:color="auto"/>
                            <w:left w:val="none" w:sz="0" w:space="0" w:color="auto"/>
                            <w:bottom w:val="none" w:sz="0" w:space="0" w:color="auto"/>
                            <w:right w:val="none" w:sz="0" w:space="0" w:color="auto"/>
                          </w:divBdr>
                        </w:div>
                        <w:div w:id="1355763688">
                          <w:marLeft w:val="0"/>
                          <w:marRight w:val="0"/>
                          <w:marTop w:val="0"/>
                          <w:marBottom w:val="0"/>
                          <w:divBdr>
                            <w:top w:val="none" w:sz="0" w:space="0" w:color="auto"/>
                            <w:left w:val="none" w:sz="0" w:space="0" w:color="auto"/>
                            <w:bottom w:val="none" w:sz="0" w:space="0" w:color="auto"/>
                            <w:right w:val="none" w:sz="0" w:space="0" w:color="auto"/>
                          </w:divBdr>
                        </w:div>
                        <w:div w:id="418021349">
                          <w:marLeft w:val="0"/>
                          <w:marRight w:val="0"/>
                          <w:marTop w:val="0"/>
                          <w:marBottom w:val="0"/>
                          <w:divBdr>
                            <w:top w:val="none" w:sz="0" w:space="0" w:color="auto"/>
                            <w:left w:val="none" w:sz="0" w:space="0" w:color="auto"/>
                            <w:bottom w:val="none" w:sz="0" w:space="0" w:color="auto"/>
                            <w:right w:val="none" w:sz="0" w:space="0" w:color="auto"/>
                          </w:divBdr>
                        </w:div>
                        <w:div w:id="293294432">
                          <w:marLeft w:val="0"/>
                          <w:marRight w:val="0"/>
                          <w:marTop w:val="0"/>
                          <w:marBottom w:val="0"/>
                          <w:divBdr>
                            <w:top w:val="none" w:sz="0" w:space="0" w:color="auto"/>
                            <w:left w:val="none" w:sz="0" w:space="0" w:color="auto"/>
                            <w:bottom w:val="none" w:sz="0" w:space="0" w:color="auto"/>
                            <w:right w:val="none" w:sz="0" w:space="0" w:color="auto"/>
                          </w:divBdr>
                        </w:div>
                        <w:div w:id="1902787524">
                          <w:marLeft w:val="0"/>
                          <w:marRight w:val="0"/>
                          <w:marTop w:val="0"/>
                          <w:marBottom w:val="0"/>
                          <w:divBdr>
                            <w:top w:val="none" w:sz="0" w:space="0" w:color="auto"/>
                            <w:left w:val="none" w:sz="0" w:space="0" w:color="auto"/>
                            <w:bottom w:val="none" w:sz="0" w:space="0" w:color="auto"/>
                            <w:right w:val="none" w:sz="0" w:space="0" w:color="auto"/>
                          </w:divBdr>
                        </w:div>
                        <w:div w:id="2020502306">
                          <w:marLeft w:val="0"/>
                          <w:marRight w:val="0"/>
                          <w:marTop w:val="0"/>
                          <w:marBottom w:val="0"/>
                          <w:divBdr>
                            <w:top w:val="none" w:sz="0" w:space="0" w:color="auto"/>
                            <w:left w:val="none" w:sz="0" w:space="0" w:color="auto"/>
                            <w:bottom w:val="none" w:sz="0" w:space="0" w:color="auto"/>
                            <w:right w:val="none" w:sz="0" w:space="0" w:color="auto"/>
                          </w:divBdr>
                        </w:div>
                        <w:div w:id="254755555">
                          <w:marLeft w:val="0"/>
                          <w:marRight w:val="0"/>
                          <w:marTop w:val="0"/>
                          <w:marBottom w:val="0"/>
                          <w:divBdr>
                            <w:top w:val="none" w:sz="0" w:space="0" w:color="auto"/>
                            <w:left w:val="none" w:sz="0" w:space="0" w:color="auto"/>
                            <w:bottom w:val="none" w:sz="0" w:space="0" w:color="auto"/>
                            <w:right w:val="none" w:sz="0" w:space="0" w:color="auto"/>
                          </w:divBdr>
                        </w:div>
                        <w:div w:id="559630907">
                          <w:marLeft w:val="0"/>
                          <w:marRight w:val="0"/>
                          <w:marTop w:val="0"/>
                          <w:marBottom w:val="0"/>
                          <w:divBdr>
                            <w:top w:val="none" w:sz="0" w:space="0" w:color="auto"/>
                            <w:left w:val="none" w:sz="0" w:space="0" w:color="auto"/>
                            <w:bottom w:val="none" w:sz="0" w:space="0" w:color="auto"/>
                            <w:right w:val="none" w:sz="0" w:space="0" w:color="auto"/>
                          </w:divBdr>
                        </w:div>
                        <w:div w:id="1568570047">
                          <w:marLeft w:val="0"/>
                          <w:marRight w:val="0"/>
                          <w:marTop w:val="0"/>
                          <w:marBottom w:val="0"/>
                          <w:divBdr>
                            <w:top w:val="none" w:sz="0" w:space="0" w:color="auto"/>
                            <w:left w:val="none" w:sz="0" w:space="0" w:color="auto"/>
                            <w:bottom w:val="none" w:sz="0" w:space="0" w:color="auto"/>
                            <w:right w:val="none" w:sz="0" w:space="0" w:color="auto"/>
                          </w:divBdr>
                        </w:div>
                        <w:div w:id="344867326">
                          <w:marLeft w:val="0"/>
                          <w:marRight w:val="0"/>
                          <w:marTop w:val="0"/>
                          <w:marBottom w:val="0"/>
                          <w:divBdr>
                            <w:top w:val="none" w:sz="0" w:space="0" w:color="auto"/>
                            <w:left w:val="none" w:sz="0" w:space="0" w:color="auto"/>
                            <w:bottom w:val="none" w:sz="0" w:space="0" w:color="auto"/>
                            <w:right w:val="none" w:sz="0" w:space="0" w:color="auto"/>
                          </w:divBdr>
                        </w:div>
                        <w:div w:id="980963966">
                          <w:marLeft w:val="0"/>
                          <w:marRight w:val="0"/>
                          <w:marTop w:val="0"/>
                          <w:marBottom w:val="0"/>
                          <w:divBdr>
                            <w:top w:val="none" w:sz="0" w:space="0" w:color="auto"/>
                            <w:left w:val="none" w:sz="0" w:space="0" w:color="auto"/>
                            <w:bottom w:val="none" w:sz="0" w:space="0" w:color="auto"/>
                            <w:right w:val="none" w:sz="0" w:space="0" w:color="auto"/>
                          </w:divBdr>
                        </w:div>
                        <w:div w:id="1484541365">
                          <w:marLeft w:val="0"/>
                          <w:marRight w:val="0"/>
                          <w:marTop w:val="0"/>
                          <w:marBottom w:val="0"/>
                          <w:divBdr>
                            <w:top w:val="none" w:sz="0" w:space="0" w:color="auto"/>
                            <w:left w:val="none" w:sz="0" w:space="0" w:color="auto"/>
                            <w:bottom w:val="none" w:sz="0" w:space="0" w:color="auto"/>
                            <w:right w:val="none" w:sz="0" w:space="0" w:color="auto"/>
                          </w:divBdr>
                        </w:div>
                        <w:div w:id="914782263">
                          <w:marLeft w:val="0"/>
                          <w:marRight w:val="0"/>
                          <w:marTop w:val="0"/>
                          <w:marBottom w:val="0"/>
                          <w:divBdr>
                            <w:top w:val="none" w:sz="0" w:space="0" w:color="auto"/>
                            <w:left w:val="none" w:sz="0" w:space="0" w:color="auto"/>
                            <w:bottom w:val="none" w:sz="0" w:space="0" w:color="auto"/>
                            <w:right w:val="none" w:sz="0" w:space="0" w:color="auto"/>
                          </w:divBdr>
                        </w:div>
                        <w:div w:id="92291471">
                          <w:marLeft w:val="0"/>
                          <w:marRight w:val="0"/>
                          <w:marTop w:val="0"/>
                          <w:marBottom w:val="0"/>
                          <w:divBdr>
                            <w:top w:val="none" w:sz="0" w:space="0" w:color="auto"/>
                            <w:left w:val="none" w:sz="0" w:space="0" w:color="auto"/>
                            <w:bottom w:val="none" w:sz="0" w:space="0" w:color="auto"/>
                            <w:right w:val="none" w:sz="0" w:space="0" w:color="auto"/>
                          </w:divBdr>
                        </w:div>
                        <w:div w:id="326981284">
                          <w:marLeft w:val="0"/>
                          <w:marRight w:val="0"/>
                          <w:marTop w:val="0"/>
                          <w:marBottom w:val="0"/>
                          <w:divBdr>
                            <w:top w:val="none" w:sz="0" w:space="0" w:color="auto"/>
                            <w:left w:val="none" w:sz="0" w:space="0" w:color="auto"/>
                            <w:bottom w:val="none" w:sz="0" w:space="0" w:color="auto"/>
                            <w:right w:val="none" w:sz="0" w:space="0" w:color="auto"/>
                          </w:divBdr>
                        </w:div>
                        <w:div w:id="59061792">
                          <w:marLeft w:val="0"/>
                          <w:marRight w:val="0"/>
                          <w:marTop w:val="0"/>
                          <w:marBottom w:val="0"/>
                          <w:divBdr>
                            <w:top w:val="none" w:sz="0" w:space="0" w:color="auto"/>
                            <w:left w:val="none" w:sz="0" w:space="0" w:color="auto"/>
                            <w:bottom w:val="none" w:sz="0" w:space="0" w:color="auto"/>
                            <w:right w:val="none" w:sz="0" w:space="0" w:color="auto"/>
                          </w:divBdr>
                        </w:div>
                        <w:div w:id="2017615628">
                          <w:marLeft w:val="0"/>
                          <w:marRight w:val="0"/>
                          <w:marTop w:val="0"/>
                          <w:marBottom w:val="0"/>
                          <w:divBdr>
                            <w:top w:val="none" w:sz="0" w:space="0" w:color="auto"/>
                            <w:left w:val="none" w:sz="0" w:space="0" w:color="auto"/>
                            <w:bottom w:val="none" w:sz="0" w:space="0" w:color="auto"/>
                            <w:right w:val="none" w:sz="0" w:space="0" w:color="auto"/>
                          </w:divBdr>
                        </w:div>
                        <w:div w:id="2066223813">
                          <w:marLeft w:val="0"/>
                          <w:marRight w:val="0"/>
                          <w:marTop w:val="0"/>
                          <w:marBottom w:val="0"/>
                          <w:divBdr>
                            <w:top w:val="none" w:sz="0" w:space="0" w:color="auto"/>
                            <w:left w:val="none" w:sz="0" w:space="0" w:color="auto"/>
                            <w:bottom w:val="none" w:sz="0" w:space="0" w:color="auto"/>
                            <w:right w:val="none" w:sz="0" w:space="0" w:color="auto"/>
                          </w:divBdr>
                        </w:div>
                        <w:div w:id="511141590">
                          <w:marLeft w:val="0"/>
                          <w:marRight w:val="0"/>
                          <w:marTop w:val="0"/>
                          <w:marBottom w:val="0"/>
                          <w:divBdr>
                            <w:top w:val="none" w:sz="0" w:space="0" w:color="auto"/>
                            <w:left w:val="none" w:sz="0" w:space="0" w:color="auto"/>
                            <w:bottom w:val="none" w:sz="0" w:space="0" w:color="auto"/>
                            <w:right w:val="none" w:sz="0" w:space="0" w:color="auto"/>
                          </w:divBdr>
                        </w:div>
                        <w:div w:id="947394522">
                          <w:marLeft w:val="0"/>
                          <w:marRight w:val="0"/>
                          <w:marTop w:val="0"/>
                          <w:marBottom w:val="0"/>
                          <w:divBdr>
                            <w:top w:val="none" w:sz="0" w:space="0" w:color="auto"/>
                            <w:left w:val="none" w:sz="0" w:space="0" w:color="auto"/>
                            <w:bottom w:val="none" w:sz="0" w:space="0" w:color="auto"/>
                            <w:right w:val="none" w:sz="0" w:space="0" w:color="auto"/>
                          </w:divBdr>
                        </w:div>
                        <w:div w:id="542406681">
                          <w:marLeft w:val="0"/>
                          <w:marRight w:val="0"/>
                          <w:marTop w:val="0"/>
                          <w:marBottom w:val="0"/>
                          <w:divBdr>
                            <w:top w:val="none" w:sz="0" w:space="0" w:color="auto"/>
                            <w:left w:val="none" w:sz="0" w:space="0" w:color="auto"/>
                            <w:bottom w:val="none" w:sz="0" w:space="0" w:color="auto"/>
                            <w:right w:val="none" w:sz="0" w:space="0" w:color="auto"/>
                          </w:divBdr>
                        </w:div>
                        <w:div w:id="81530313">
                          <w:marLeft w:val="0"/>
                          <w:marRight w:val="0"/>
                          <w:marTop w:val="0"/>
                          <w:marBottom w:val="0"/>
                          <w:divBdr>
                            <w:top w:val="none" w:sz="0" w:space="0" w:color="auto"/>
                            <w:left w:val="none" w:sz="0" w:space="0" w:color="auto"/>
                            <w:bottom w:val="none" w:sz="0" w:space="0" w:color="auto"/>
                            <w:right w:val="none" w:sz="0" w:space="0" w:color="auto"/>
                          </w:divBdr>
                        </w:div>
                        <w:div w:id="1695691427">
                          <w:marLeft w:val="0"/>
                          <w:marRight w:val="0"/>
                          <w:marTop w:val="0"/>
                          <w:marBottom w:val="0"/>
                          <w:divBdr>
                            <w:top w:val="none" w:sz="0" w:space="0" w:color="auto"/>
                            <w:left w:val="none" w:sz="0" w:space="0" w:color="auto"/>
                            <w:bottom w:val="none" w:sz="0" w:space="0" w:color="auto"/>
                            <w:right w:val="none" w:sz="0" w:space="0" w:color="auto"/>
                          </w:divBdr>
                        </w:div>
                        <w:div w:id="916287552">
                          <w:marLeft w:val="0"/>
                          <w:marRight w:val="0"/>
                          <w:marTop w:val="0"/>
                          <w:marBottom w:val="0"/>
                          <w:divBdr>
                            <w:top w:val="none" w:sz="0" w:space="0" w:color="auto"/>
                            <w:left w:val="none" w:sz="0" w:space="0" w:color="auto"/>
                            <w:bottom w:val="none" w:sz="0" w:space="0" w:color="auto"/>
                            <w:right w:val="none" w:sz="0" w:space="0" w:color="auto"/>
                          </w:divBdr>
                        </w:div>
                        <w:div w:id="1673685149">
                          <w:marLeft w:val="0"/>
                          <w:marRight w:val="0"/>
                          <w:marTop w:val="0"/>
                          <w:marBottom w:val="0"/>
                          <w:divBdr>
                            <w:top w:val="none" w:sz="0" w:space="0" w:color="auto"/>
                            <w:left w:val="none" w:sz="0" w:space="0" w:color="auto"/>
                            <w:bottom w:val="none" w:sz="0" w:space="0" w:color="auto"/>
                            <w:right w:val="none" w:sz="0" w:space="0" w:color="auto"/>
                          </w:divBdr>
                        </w:div>
                        <w:div w:id="1862359346">
                          <w:marLeft w:val="0"/>
                          <w:marRight w:val="0"/>
                          <w:marTop w:val="0"/>
                          <w:marBottom w:val="0"/>
                          <w:divBdr>
                            <w:top w:val="none" w:sz="0" w:space="0" w:color="auto"/>
                            <w:left w:val="none" w:sz="0" w:space="0" w:color="auto"/>
                            <w:bottom w:val="none" w:sz="0" w:space="0" w:color="auto"/>
                            <w:right w:val="none" w:sz="0" w:space="0" w:color="auto"/>
                          </w:divBdr>
                        </w:div>
                        <w:div w:id="97528287">
                          <w:marLeft w:val="0"/>
                          <w:marRight w:val="0"/>
                          <w:marTop w:val="0"/>
                          <w:marBottom w:val="0"/>
                          <w:divBdr>
                            <w:top w:val="none" w:sz="0" w:space="0" w:color="auto"/>
                            <w:left w:val="none" w:sz="0" w:space="0" w:color="auto"/>
                            <w:bottom w:val="none" w:sz="0" w:space="0" w:color="auto"/>
                            <w:right w:val="none" w:sz="0" w:space="0" w:color="auto"/>
                          </w:divBdr>
                        </w:div>
                        <w:div w:id="1669864130">
                          <w:marLeft w:val="0"/>
                          <w:marRight w:val="0"/>
                          <w:marTop w:val="0"/>
                          <w:marBottom w:val="0"/>
                          <w:divBdr>
                            <w:top w:val="none" w:sz="0" w:space="0" w:color="auto"/>
                            <w:left w:val="none" w:sz="0" w:space="0" w:color="auto"/>
                            <w:bottom w:val="none" w:sz="0" w:space="0" w:color="auto"/>
                            <w:right w:val="none" w:sz="0" w:space="0" w:color="auto"/>
                          </w:divBdr>
                        </w:div>
                        <w:div w:id="569921810">
                          <w:marLeft w:val="0"/>
                          <w:marRight w:val="0"/>
                          <w:marTop w:val="0"/>
                          <w:marBottom w:val="0"/>
                          <w:divBdr>
                            <w:top w:val="none" w:sz="0" w:space="0" w:color="auto"/>
                            <w:left w:val="none" w:sz="0" w:space="0" w:color="auto"/>
                            <w:bottom w:val="none" w:sz="0" w:space="0" w:color="auto"/>
                            <w:right w:val="none" w:sz="0" w:space="0" w:color="auto"/>
                          </w:divBdr>
                        </w:div>
                        <w:div w:id="1268847905">
                          <w:marLeft w:val="0"/>
                          <w:marRight w:val="0"/>
                          <w:marTop w:val="0"/>
                          <w:marBottom w:val="0"/>
                          <w:divBdr>
                            <w:top w:val="none" w:sz="0" w:space="0" w:color="auto"/>
                            <w:left w:val="none" w:sz="0" w:space="0" w:color="auto"/>
                            <w:bottom w:val="none" w:sz="0" w:space="0" w:color="auto"/>
                            <w:right w:val="none" w:sz="0" w:space="0" w:color="auto"/>
                          </w:divBdr>
                        </w:div>
                        <w:div w:id="531041388">
                          <w:marLeft w:val="0"/>
                          <w:marRight w:val="0"/>
                          <w:marTop w:val="0"/>
                          <w:marBottom w:val="0"/>
                          <w:divBdr>
                            <w:top w:val="none" w:sz="0" w:space="0" w:color="auto"/>
                            <w:left w:val="none" w:sz="0" w:space="0" w:color="auto"/>
                            <w:bottom w:val="none" w:sz="0" w:space="0" w:color="auto"/>
                            <w:right w:val="none" w:sz="0" w:space="0" w:color="auto"/>
                          </w:divBdr>
                        </w:div>
                        <w:div w:id="267322459">
                          <w:marLeft w:val="0"/>
                          <w:marRight w:val="0"/>
                          <w:marTop w:val="0"/>
                          <w:marBottom w:val="0"/>
                          <w:divBdr>
                            <w:top w:val="none" w:sz="0" w:space="0" w:color="auto"/>
                            <w:left w:val="none" w:sz="0" w:space="0" w:color="auto"/>
                            <w:bottom w:val="none" w:sz="0" w:space="0" w:color="auto"/>
                            <w:right w:val="none" w:sz="0" w:space="0" w:color="auto"/>
                          </w:divBdr>
                        </w:div>
                        <w:div w:id="565143242">
                          <w:marLeft w:val="0"/>
                          <w:marRight w:val="0"/>
                          <w:marTop w:val="0"/>
                          <w:marBottom w:val="0"/>
                          <w:divBdr>
                            <w:top w:val="none" w:sz="0" w:space="0" w:color="auto"/>
                            <w:left w:val="none" w:sz="0" w:space="0" w:color="auto"/>
                            <w:bottom w:val="none" w:sz="0" w:space="0" w:color="auto"/>
                            <w:right w:val="none" w:sz="0" w:space="0" w:color="auto"/>
                          </w:divBdr>
                        </w:div>
                        <w:div w:id="169224134">
                          <w:marLeft w:val="0"/>
                          <w:marRight w:val="0"/>
                          <w:marTop w:val="0"/>
                          <w:marBottom w:val="0"/>
                          <w:divBdr>
                            <w:top w:val="none" w:sz="0" w:space="0" w:color="auto"/>
                            <w:left w:val="none" w:sz="0" w:space="0" w:color="auto"/>
                            <w:bottom w:val="none" w:sz="0" w:space="0" w:color="auto"/>
                            <w:right w:val="none" w:sz="0" w:space="0" w:color="auto"/>
                          </w:divBdr>
                        </w:div>
                        <w:div w:id="1853950939">
                          <w:marLeft w:val="0"/>
                          <w:marRight w:val="0"/>
                          <w:marTop w:val="0"/>
                          <w:marBottom w:val="0"/>
                          <w:divBdr>
                            <w:top w:val="none" w:sz="0" w:space="0" w:color="auto"/>
                            <w:left w:val="none" w:sz="0" w:space="0" w:color="auto"/>
                            <w:bottom w:val="none" w:sz="0" w:space="0" w:color="auto"/>
                            <w:right w:val="none" w:sz="0" w:space="0" w:color="auto"/>
                          </w:divBdr>
                        </w:div>
                        <w:div w:id="1671257192">
                          <w:marLeft w:val="0"/>
                          <w:marRight w:val="0"/>
                          <w:marTop w:val="0"/>
                          <w:marBottom w:val="0"/>
                          <w:divBdr>
                            <w:top w:val="none" w:sz="0" w:space="0" w:color="auto"/>
                            <w:left w:val="none" w:sz="0" w:space="0" w:color="auto"/>
                            <w:bottom w:val="none" w:sz="0" w:space="0" w:color="auto"/>
                            <w:right w:val="none" w:sz="0" w:space="0" w:color="auto"/>
                          </w:divBdr>
                        </w:div>
                        <w:div w:id="610163723">
                          <w:marLeft w:val="0"/>
                          <w:marRight w:val="0"/>
                          <w:marTop w:val="0"/>
                          <w:marBottom w:val="0"/>
                          <w:divBdr>
                            <w:top w:val="none" w:sz="0" w:space="0" w:color="auto"/>
                            <w:left w:val="none" w:sz="0" w:space="0" w:color="auto"/>
                            <w:bottom w:val="none" w:sz="0" w:space="0" w:color="auto"/>
                            <w:right w:val="none" w:sz="0" w:space="0" w:color="auto"/>
                          </w:divBdr>
                        </w:div>
                        <w:div w:id="1006789013">
                          <w:marLeft w:val="0"/>
                          <w:marRight w:val="0"/>
                          <w:marTop w:val="0"/>
                          <w:marBottom w:val="0"/>
                          <w:divBdr>
                            <w:top w:val="none" w:sz="0" w:space="0" w:color="auto"/>
                            <w:left w:val="none" w:sz="0" w:space="0" w:color="auto"/>
                            <w:bottom w:val="none" w:sz="0" w:space="0" w:color="auto"/>
                            <w:right w:val="none" w:sz="0" w:space="0" w:color="auto"/>
                          </w:divBdr>
                        </w:div>
                        <w:div w:id="734745891">
                          <w:marLeft w:val="0"/>
                          <w:marRight w:val="0"/>
                          <w:marTop w:val="0"/>
                          <w:marBottom w:val="0"/>
                          <w:divBdr>
                            <w:top w:val="none" w:sz="0" w:space="0" w:color="auto"/>
                            <w:left w:val="none" w:sz="0" w:space="0" w:color="auto"/>
                            <w:bottom w:val="none" w:sz="0" w:space="0" w:color="auto"/>
                            <w:right w:val="none" w:sz="0" w:space="0" w:color="auto"/>
                          </w:divBdr>
                        </w:div>
                        <w:div w:id="1054432807">
                          <w:marLeft w:val="0"/>
                          <w:marRight w:val="0"/>
                          <w:marTop w:val="0"/>
                          <w:marBottom w:val="0"/>
                          <w:divBdr>
                            <w:top w:val="none" w:sz="0" w:space="0" w:color="auto"/>
                            <w:left w:val="none" w:sz="0" w:space="0" w:color="auto"/>
                            <w:bottom w:val="none" w:sz="0" w:space="0" w:color="auto"/>
                            <w:right w:val="none" w:sz="0" w:space="0" w:color="auto"/>
                          </w:divBdr>
                        </w:div>
                        <w:div w:id="369114201">
                          <w:marLeft w:val="0"/>
                          <w:marRight w:val="0"/>
                          <w:marTop w:val="0"/>
                          <w:marBottom w:val="0"/>
                          <w:divBdr>
                            <w:top w:val="none" w:sz="0" w:space="0" w:color="auto"/>
                            <w:left w:val="none" w:sz="0" w:space="0" w:color="auto"/>
                            <w:bottom w:val="none" w:sz="0" w:space="0" w:color="auto"/>
                            <w:right w:val="none" w:sz="0" w:space="0" w:color="auto"/>
                          </w:divBdr>
                        </w:div>
                        <w:div w:id="704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C251-DBFC-494F-BE2B-9E4BBE6E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8</Pages>
  <Words>3425</Words>
  <Characters>18838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Guignard</dc:creator>
  <cp:lastModifiedBy>Daniel Guignard</cp:lastModifiedBy>
  <cp:revision>37</cp:revision>
  <cp:lastPrinted>2014-07-28T06:51:00Z</cp:lastPrinted>
  <dcterms:created xsi:type="dcterms:W3CDTF">2014-07-26T07:32:00Z</dcterms:created>
  <dcterms:modified xsi:type="dcterms:W3CDTF">2014-07-28T07:30:00Z</dcterms:modified>
</cp:coreProperties>
</file>